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>
      <w:pPr>
        <w:widowControl/>
        <w:spacing w:line="640" w:lineRule="atLeast"/>
        <w:ind w:firstLine="342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本次检验项目</w:t>
      </w:r>
    </w:p>
    <w:p>
      <w:pPr>
        <w:widowControl/>
        <w:spacing w:line="54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糕点类食品</w:t>
      </w:r>
    </w:p>
    <w:p>
      <w:pPr>
        <w:widowControl/>
        <w:spacing w:line="56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（一）抽检依据</w:t>
      </w:r>
    </w:p>
    <w:p>
      <w:pPr>
        <w:widowControl/>
        <w:spacing w:line="440" w:lineRule="exact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抽检依据《食品安全国家标准熟肉制品》（GB 2760-2016）《食品安全国家  食品添加剂使用标准》（GB 2760-2014）等标准及产品明示标准和指标的要求。</w:t>
      </w:r>
    </w:p>
    <w:p>
      <w:pPr>
        <w:widowControl/>
        <w:spacing w:line="560" w:lineRule="exact"/>
        <w:ind w:firstLine="640"/>
        <w:jc w:val="left"/>
        <w:rPr>
          <w:rFonts w:ascii="楷体_GB2312" w:hAnsi="微软雅黑" w:eastAsia="楷体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（二）抽检项目</w:t>
      </w: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/>
                <w:color w:val="000000"/>
                <w:sz w:val="32"/>
                <w:szCs w:val="32"/>
              </w:rPr>
              <w:t>肉及肉制品类食品</w:t>
            </w:r>
            <w:r>
              <w:rPr>
                <w:rFonts w:hint="eastAsia" w:asciiTheme="minorEastAsia" w:hAnsiTheme="minorEastAsia"/>
                <w:color w:val="333333"/>
                <w:sz w:val="32"/>
                <w:szCs w:val="32"/>
              </w:rPr>
              <w:t>抽检项目包括</w:t>
            </w:r>
            <w:r>
              <w:rPr>
                <w:rFonts w:hint="eastAsia"/>
                <w:color w:val="000000"/>
                <w:sz w:val="32"/>
                <w:szCs w:val="32"/>
              </w:rPr>
              <w:t>铅、亚硝酸盐、苯甲酸、山梨酸、菌落总数、大肠菌群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75B34"/>
    <w:rsid w:val="7C1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2019-11-25T01:16:00Z</dcterms:created>
  <dc:creator>A 杨^_^</dc:creator>
  <cp:lastModifiedBy>A 杨^_^</cp:lastModifiedBy>
  <dcterms:modified xsi:type="dcterms:W3CDTF">2019-11-25T01:17:24Z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