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kern w:val="2"/>
          <w:sz w:val="70"/>
          <w:szCs w:val="70"/>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kern w:val="2"/>
          <w:sz w:val="52"/>
          <w:szCs w:val="52"/>
        </w:rPr>
      </w:pPr>
      <w:r>
        <w:rPr>
          <w:rFonts w:hint="eastAsia" w:ascii="方正小标宋简体" w:hAnsi="方正小标宋简体" w:eastAsia="方正小标宋简体" w:cs="方正小标宋简体"/>
          <w:color w:val="000000"/>
          <w:kern w:val="2"/>
          <w:sz w:val="52"/>
          <w:szCs w:val="52"/>
        </w:rPr>
        <w:t>镇安县木王国家森林公园管理委员会</w:t>
      </w: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kern w:val="2"/>
          <w:sz w:val="70"/>
          <w:szCs w:val="70"/>
        </w:rPr>
      </w:pPr>
      <w:r>
        <w:rPr>
          <w:rFonts w:hint="eastAsia" w:ascii="方正小标宋简体" w:hAnsi="方正小标宋简体" w:eastAsia="方正小标宋简体" w:cs="方正小标宋简体"/>
          <w:color w:val="000000"/>
          <w:kern w:val="2"/>
          <w:sz w:val="70"/>
          <w:szCs w:val="70"/>
        </w:rPr>
        <w:t>2020年部门决算公开</w:t>
      </w:r>
    </w:p>
    <w:p/>
    <w:p/>
    <w:p/>
    <w:p/>
    <w:p/>
    <w:p/>
    <w:p/>
    <w:p/>
    <w:p/>
    <w:p>
      <w:pPr>
        <w:jc w:val="left"/>
      </w:pPr>
    </w:p>
    <w:p>
      <w:pPr>
        <w:jc w:val="left"/>
      </w:pPr>
    </w:p>
    <w:p>
      <w:pPr>
        <w:jc w:val="left"/>
      </w:pPr>
    </w:p>
    <w:p>
      <w:pPr>
        <w:jc w:val="left"/>
      </w:pPr>
    </w:p>
    <w:p>
      <w:pPr>
        <w:ind w:firstLine="1920" w:firstLineChars="600"/>
        <w:jc w:val="left"/>
        <w:rPr>
          <w:rFonts w:hint="eastAsia" w:ascii="宋体" w:hAnsi="宋体" w:eastAsia="宋体" w:cs="黑体"/>
          <w:kern w:val="2"/>
          <w:sz w:val="32"/>
          <w:szCs w:val="32"/>
        </w:rPr>
      </w:pPr>
    </w:p>
    <w:p>
      <w:pPr>
        <w:ind w:firstLine="1920" w:firstLineChars="600"/>
        <w:jc w:val="left"/>
        <w:rPr>
          <w:rFonts w:hint="eastAsia" w:ascii="宋体" w:hAnsi="宋体" w:eastAsia="宋体" w:cs="黑体"/>
          <w:kern w:val="2"/>
          <w:sz w:val="32"/>
          <w:szCs w:val="32"/>
        </w:rPr>
      </w:pPr>
    </w:p>
    <w:p>
      <w:pPr>
        <w:ind w:firstLine="1920" w:firstLineChars="600"/>
        <w:jc w:val="left"/>
        <w:rPr>
          <w:rFonts w:hint="eastAsia" w:ascii="宋体" w:hAnsi="宋体" w:eastAsia="宋体" w:cs="黑体"/>
          <w:kern w:val="2"/>
          <w:sz w:val="32"/>
          <w:szCs w:val="32"/>
        </w:rPr>
      </w:pPr>
    </w:p>
    <w:p>
      <w:pPr>
        <w:ind w:firstLine="1920" w:firstLineChars="600"/>
        <w:jc w:val="left"/>
        <w:rPr>
          <w:rFonts w:hint="eastAsia" w:ascii="宋体" w:hAnsi="宋体" w:eastAsia="宋体" w:cs="黑体"/>
          <w:kern w:val="2"/>
          <w:sz w:val="32"/>
          <w:szCs w:val="32"/>
        </w:rPr>
      </w:pPr>
    </w:p>
    <w:p>
      <w:pPr>
        <w:ind w:firstLine="1920" w:firstLineChars="600"/>
        <w:jc w:val="left"/>
        <w:rPr>
          <w:rFonts w:hint="eastAsia" w:ascii="宋体" w:hAnsi="宋体" w:eastAsia="宋体" w:cs="黑体"/>
          <w:kern w:val="2"/>
          <w:sz w:val="32"/>
          <w:szCs w:val="32"/>
        </w:rPr>
      </w:pPr>
      <w:r>
        <w:rPr>
          <w:rFonts w:hint="eastAsia" w:ascii="宋体" w:hAnsi="宋体" w:eastAsia="宋体" w:cs="黑体"/>
          <w:kern w:val="2"/>
          <w:sz w:val="32"/>
          <w:szCs w:val="32"/>
        </w:rPr>
        <w:t>保密审查情况：已审查</w:t>
      </w:r>
    </w:p>
    <w:p>
      <w:pPr>
        <w:ind w:firstLine="1920" w:firstLineChars="600"/>
        <w:jc w:val="left"/>
        <w:rPr>
          <w:rFonts w:hint="eastAsia" w:ascii="宋体" w:hAnsi="宋体" w:eastAsia="宋体" w:cs="黑体"/>
          <w:kern w:val="2"/>
          <w:sz w:val="32"/>
          <w:szCs w:val="32"/>
        </w:rPr>
      </w:pPr>
      <w:r>
        <w:rPr>
          <w:rFonts w:hint="eastAsia" w:ascii="宋体" w:hAnsi="宋体" w:eastAsia="宋体" w:cs="黑体"/>
          <w:kern w:val="2"/>
          <w:sz w:val="32"/>
          <w:szCs w:val="32"/>
        </w:rPr>
        <w:t>部门负责人审签情况：已审签</w:t>
      </w:r>
    </w:p>
    <w:p>
      <w:pPr>
        <w:ind w:firstLine="1920" w:firstLineChars="600"/>
        <w:jc w:val="left"/>
        <w:rPr>
          <w:rFonts w:hint="eastAsia" w:ascii="宋体" w:hAnsi="宋体" w:eastAsia="宋体" w:cs="黑体"/>
          <w:kern w:val="2"/>
          <w:sz w:val="32"/>
          <w:szCs w:val="32"/>
        </w:rPr>
      </w:pPr>
    </w:p>
    <w:p>
      <w:pPr>
        <w:ind w:left="4711" w:leftChars="100" w:hanging="4391" w:hangingChars="998"/>
        <w:jc w:val="center"/>
        <w:rPr>
          <w:rFonts w:ascii="方正小标宋简体" w:hAnsi="方正小标宋简体" w:eastAsia="方正小标宋简体" w:cs="方正小标宋简体"/>
          <w:sz w:val="44"/>
          <w:szCs w:val="44"/>
        </w:rPr>
      </w:pPr>
    </w:p>
    <w:p>
      <w:pPr>
        <w:ind w:left="4711" w:leftChars="100" w:hanging="4391" w:hangingChars="998"/>
        <w:jc w:val="center"/>
        <w:rPr>
          <w:rFonts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711" w:leftChars="100" w:hanging="4391"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beforeLines="50" w:afterLines="50"/>
        <w:jc w:val="center"/>
        <w:rPr>
          <w:rFonts w:ascii="黑体" w:hAnsi="黑体" w:eastAsia="黑体" w:cs="黑体"/>
        </w:rPr>
      </w:pPr>
      <w:r>
        <w:rPr>
          <w:rFonts w:hint="eastAsia" w:ascii="黑体" w:hAnsi="黑体" w:eastAsia="黑体" w:cs="黑体"/>
        </w:rPr>
        <w:t>第一部分  部门概况</w:t>
      </w:r>
    </w:p>
    <w:p>
      <w:pPr>
        <w:rPr>
          <w:rFonts w:ascii="仿宋_GB2312" w:hAnsi="仿宋_GB2312" w:cs="仿宋_GB2312"/>
        </w:rPr>
      </w:pPr>
      <w:r>
        <w:rPr>
          <w:rFonts w:hint="eastAsia" w:ascii="仿宋_GB2312" w:hAnsi="仿宋_GB2312" w:cs="仿宋_GB2312"/>
        </w:rPr>
        <w:t>一、部门主要职责及内设机构</w:t>
      </w:r>
    </w:p>
    <w:p>
      <w:pPr>
        <w:rPr>
          <w:rFonts w:ascii="仿宋_GB2312" w:hAnsi="仿宋_GB2312" w:cs="仿宋_GB2312"/>
        </w:rPr>
      </w:pPr>
      <w:r>
        <w:rPr>
          <w:rFonts w:hint="eastAsia" w:ascii="仿宋_GB2312" w:hAnsi="仿宋_GB2312" w:cs="仿宋_GB2312"/>
        </w:rPr>
        <w:t>二、部门决算单位构成</w:t>
      </w:r>
    </w:p>
    <w:p>
      <w:pPr>
        <w:rPr>
          <w:rFonts w:ascii="仿宋_GB2312" w:hAnsi="仿宋_GB2312" w:cs="仿宋_GB2312"/>
        </w:rPr>
      </w:pPr>
      <w:r>
        <w:rPr>
          <w:rFonts w:hint="eastAsia" w:ascii="仿宋_GB2312" w:hAnsi="仿宋_GB2312" w:cs="仿宋_GB2312"/>
        </w:rPr>
        <w:t>三、部门人员情况</w:t>
      </w:r>
    </w:p>
    <w:p>
      <w:pPr>
        <w:spacing w:beforeLines="50" w:afterLines="50"/>
        <w:jc w:val="center"/>
        <w:rPr>
          <w:rFonts w:ascii="黑体" w:hAnsi="黑体" w:eastAsia="黑体" w:cs="黑体"/>
        </w:rPr>
      </w:pPr>
      <w:r>
        <w:rPr>
          <w:rFonts w:hint="eastAsia" w:ascii="黑体" w:hAnsi="黑体" w:eastAsia="黑体" w:cs="黑体"/>
        </w:rPr>
        <w:t>第二部分  2020年部</w:t>
      </w:r>
      <w:r>
        <w:rPr>
          <w:rFonts w:hint="eastAsia" w:ascii="黑体" w:hAnsi="黑体" w:eastAsia="黑体" w:cs="宋体"/>
        </w:rPr>
        <w:t>门</w:t>
      </w:r>
      <w:r>
        <w:rPr>
          <w:rFonts w:hint="eastAsia" w:ascii="黑体" w:hAnsi="黑体" w:eastAsia="黑体" w:cs="黑体"/>
        </w:rPr>
        <w:t>决算表</w:t>
      </w:r>
    </w:p>
    <w:p>
      <w:pPr>
        <w:rPr>
          <w:rFonts w:ascii="仿宋_GB2312" w:hAnsi="仿宋_GB2312" w:cs="仿宋_GB2312"/>
        </w:rPr>
      </w:pPr>
      <w:r>
        <w:rPr>
          <w:rFonts w:hint="eastAsia" w:ascii="仿宋_GB2312" w:hAnsi="仿宋_GB2312" w:cs="仿宋_GB2312"/>
        </w:rPr>
        <w:t>一、收入支出决算总表</w:t>
      </w:r>
    </w:p>
    <w:p>
      <w:pPr>
        <w:rPr>
          <w:rFonts w:ascii="仿宋_GB2312" w:hAnsi="仿宋_GB2312" w:cs="仿宋_GB2312"/>
        </w:rPr>
      </w:pPr>
      <w:r>
        <w:rPr>
          <w:rFonts w:hint="eastAsia" w:ascii="仿宋_GB2312" w:hAnsi="仿宋_GB2312" w:cs="仿宋_GB2312"/>
        </w:rPr>
        <w:t>二、收入决算总表</w:t>
      </w:r>
    </w:p>
    <w:p>
      <w:pPr>
        <w:rPr>
          <w:rFonts w:ascii="仿宋_GB2312" w:hAnsi="仿宋_GB2312" w:cs="仿宋_GB2312"/>
        </w:rPr>
      </w:pPr>
      <w:r>
        <w:rPr>
          <w:rFonts w:hint="eastAsia" w:ascii="仿宋_GB2312" w:hAnsi="仿宋_GB2312" w:cs="仿宋_GB2312"/>
        </w:rPr>
        <w:t>三、支出决算总表</w:t>
      </w:r>
    </w:p>
    <w:p>
      <w:pPr>
        <w:rPr>
          <w:rFonts w:ascii="仿宋_GB2312" w:hAnsi="仿宋_GB2312" w:cs="仿宋_GB2312"/>
        </w:rPr>
      </w:pPr>
      <w:r>
        <w:rPr>
          <w:rFonts w:hint="eastAsia" w:ascii="仿宋_GB2312" w:hAnsi="仿宋_GB2312" w:cs="仿宋_GB2312"/>
        </w:rPr>
        <w:t>四、财政拨款收入支出决算总表</w:t>
      </w:r>
    </w:p>
    <w:p>
      <w:pPr>
        <w:rPr>
          <w:rFonts w:ascii="仿宋_GB2312" w:hAnsi="仿宋_GB2312" w:cs="仿宋_GB2312"/>
        </w:rPr>
      </w:pPr>
      <w:r>
        <w:rPr>
          <w:rFonts w:hint="eastAsia" w:ascii="仿宋_GB2312" w:hAnsi="仿宋_GB2312" w:cs="仿宋_GB2312"/>
        </w:rPr>
        <w:t>五、一般公共预算财政拨款支出决算表</w:t>
      </w:r>
    </w:p>
    <w:p>
      <w:pPr>
        <w:rPr>
          <w:rFonts w:ascii="仿宋_GB2312" w:hAnsi="仿宋_GB2312" w:cs="仿宋_GB2312"/>
        </w:rPr>
      </w:pPr>
      <w:r>
        <w:rPr>
          <w:rFonts w:hint="eastAsia" w:ascii="仿宋_GB2312" w:hAnsi="仿宋_GB2312" w:cs="仿宋_GB2312"/>
        </w:rPr>
        <w:t>六、一般公共预算财政拨款基本支出决算表</w:t>
      </w:r>
    </w:p>
    <w:p>
      <w:pPr>
        <w:rPr>
          <w:rFonts w:ascii="仿宋_GB2312" w:hAnsi="仿宋_GB2312" w:cs="仿宋_GB2312"/>
        </w:rPr>
      </w:pPr>
      <w:r>
        <w:rPr>
          <w:rFonts w:hint="eastAsia" w:ascii="仿宋_GB2312" w:hAnsi="仿宋_GB2312" w:cs="仿宋_GB2312"/>
        </w:rPr>
        <w:t>七、一般公共预算财政拨款“三公”经费及会议费、培训费支出决算表</w:t>
      </w:r>
    </w:p>
    <w:p>
      <w:pPr>
        <w:rPr>
          <w:rFonts w:ascii="仿宋_GB2312" w:hAnsi="仿宋_GB2312" w:cs="仿宋_GB2312"/>
        </w:rPr>
      </w:pPr>
      <w:r>
        <w:rPr>
          <w:rFonts w:hint="eastAsia" w:ascii="仿宋_GB2312" w:hAnsi="仿宋_GB2312" w:cs="仿宋_GB2312"/>
        </w:rPr>
        <w:t>八、政府性基金预算财政拨款收入支出决算表</w:t>
      </w:r>
    </w:p>
    <w:p>
      <w:pPr>
        <w:spacing w:beforeLines="50" w:afterLines="50"/>
        <w:jc w:val="center"/>
        <w:rPr>
          <w:rFonts w:ascii="黑体" w:hAnsi="黑体" w:eastAsia="黑体" w:cs="黑体"/>
        </w:rPr>
      </w:pPr>
      <w:r>
        <w:rPr>
          <w:rFonts w:hint="eastAsia" w:ascii="黑体" w:hAnsi="黑体" w:eastAsia="黑体" w:cs="黑体"/>
        </w:rPr>
        <w:t>第三部分  2020年部门决算情况说明</w:t>
      </w:r>
    </w:p>
    <w:p>
      <w:pPr>
        <w:rPr>
          <w:rFonts w:ascii="仿宋_GB2312" w:hAnsi="仿宋_GB2312" w:cs="仿宋_GB2312"/>
        </w:rPr>
      </w:pPr>
      <w:r>
        <w:rPr>
          <w:rFonts w:hint="eastAsia" w:ascii="仿宋_GB2312" w:hAnsi="仿宋_GB2312" w:cs="仿宋_GB2312"/>
        </w:rPr>
        <w:t>一、收入支出决算总体情况说明</w:t>
      </w:r>
    </w:p>
    <w:p>
      <w:pPr>
        <w:rPr>
          <w:rFonts w:ascii="仿宋_GB2312" w:hAnsi="仿宋_GB2312" w:cs="仿宋_GB2312"/>
        </w:rPr>
      </w:pPr>
      <w:r>
        <w:rPr>
          <w:rFonts w:hint="eastAsia" w:ascii="仿宋_GB2312" w:hAnsi="仿宋_GB2312" w:cs="仿宋_GB2312"/>
        </w:rPr>
        <w:t>二、收入决算情况说明</w:t>
      </w:r>
    </w:p>
    <w:p>
      <w:pPr>
        <w:spacing w:line="580" w:lineRule="exact"/>
        <w:rPr>
          <w:rFonts w:ascii="仿宋_GB2312" w:hAnsi="仿宋_GB2312" w:cs="仿宋_GB2312"/>
        </w:rPr>
      </w:pPr>
      <w:r>
        <w:rPr>
          <w:rFonts w:hint="eastAsia" w:ascii="仿宋_GB2312" w:hAnsi="仿宋_GB2312" w:cs="仿宋_GB2312"/>
        </w:rPr>
        <w:t>三、支出决算情况说明</w:t>
      </w:r>
    </w:p>
    <w:p>
      <w:pPr>
        <w:spacing w:line="580" w:lineRule="exact"/>
        <w:rPr>
          <w:rFonts w:ascii="仿宋_GB2312" w:hAnsi="仿宋_GB2312" w:cs="仿宋_GB2312"/>
        </w:rPr>
      </w:pPr>
      <w:r>
        <w:rPr>
          <w:rFonts w:hint="eastAsia" w:ascii="仿宋_GB2312" w:hAnsi="仿宋_GB2312" w:cs="仿宋_GB2312"/>
        </w:rPr>
        <w:t>四、财政拨款收入支出决算总体情况说明</w:t>
      </w:r>
    </w:p>
    <w:p>
      <w:pPr>
        <w:spacing w:line="580" w:lineRule="exact"/>
        <w:rPr>
          <w:rFonts w:ascii="仿宋_GB2312" w:hAnsi="仿宋_GB2312" w:cs="仿宋_GB2312"/>
        </w:rPr>
      </w:pPr>
      <w:r>
        <w:rPr>
          <w:rFonts w:hint="eastAsia" w:ascii="仿宋_GB2312" w:hAnsi="仿宋_GB2312" w:cs="仿宋_GB2312"/>
        </w:rPr>
        <w:t>五、一般公共预算财政拨款支出决算情况说明</w:t>
      </w:r>
    </w:p>
    <w:p>
      <w:pPr>
        <w:spacing w:line="580" w:lineRule="exact"/>
        <w:ind w:firstLine="320" w:firstLineChars="100"/>
        <w:rPr>
          <w:rFonts w:ascii="仿宋_GB2312" w:hAnsi="仿宋_GB2312" w:cs="仿宋_GB2312"/>
        </w:rPr>
      </w:pPr>
      <w:r>
        <w:rPr>
          <w:rFonts w:hint="eastAsia" w:ascii="仿宋_GB2312" w:hAnsi="仿宋_GB2312" w:cs="仿宋_GB2312"/>
        </w:rPr>
        <w:t>（一）财政拨款支出决算总体情况说明</w:t>
      </w:r>
    </w:p>
    <w:p>
      <w:pPr>
        <w:spacing w:line="580" w:lineRule="exact"/>
        <w:ind w:firstLine="320" w:firstLineChars="100"/>
        <w:rPr>
          <w:rFonts w:ascii="仿宋_GB2312" w:hAnsi="仿宋_GB2312" w:cs="仿宋_GB2312"/>
        </w:rPr>
      </w:pPr>
      <w:r>
        <w:rPr>
          <w:rFonts w:hint="eastAsia" w:ascii="仿宋_GB2312" w:hAnsi="仿宋_GB2312" w:cs="仿宋_GB2312"/>
        </w:rPr>
        <w:t>（二）财政拨款支出决算具体情况说明</w:t>
      </w:r>
    </w:p>
    <w:p>
      <w:pPr>
        <w:spacing w:line="580" w:lineRule="exact"/>
        <w:rPr>
          <w:rFonts w:ascii="仿宋_GB2312" w:hAnsi="仿宋_GB2312" w:cs="仿宋_GB2312"/>
        </w:rPr>
      </w:pPr>
      <w:r>
        <w:rPr>
          <w:rFonts w:hint="eastAsia" w:ascii="仿宋_GB2312" w:hAnsi="仿宋_GB2312" w:cs="仿宋_GB2312"/>
        </w:rPr>
        <w:t>六、-般公共预算财政拨款基本支出决算情况说明</w:t>
      </w:r>
    </w:p>
    <w:p>
      <w:pPr>
        <w:spacing w:line="580" w:lineRule="exact"/>
        <w:rPr>
          <w:rFonts w:ascii="仿宋_GB2312" w:hAnsi="仿宋_GB2312" w:cs="仿宋_GB2312"/>
        </w:rPr>
      </w:pPr>
      <w:r>
        <w:rPr>
          <w:rFonts w:hint="eastAsia" w:ascii="仿宋_GB2312" w:hAnsi="仿宋_GB2312" w:cs="仿宋_GB2312"/>
        </w:rPr>
        <w:t>七、一般公共预算财政拨款“三公”经费及会议费、培训费支出决算情况说明</w:t>
      </w:r>
    </w:p>
    <w:p>
      <w:pPr>
        <w:spacing w:line="580" w:lineRule="exact"/>
        <w:ind w:firstLine="320" w:firstLineChars="100"/>
        <w:rPr>
          <w:rFonts w:ascii="仿宋_GB2312" w:hAnsi="仿宋_GB2312" w:cs="仿宋_GB2312"/>
          <w:spacing w:val="-8"/>
        </w:rPr>
      </w:pPr>
      <w:r>
        <w:rPr>
          <w:rFonts w:hint="eastAsia" w:ascii="仿宋_GB2312" w:hAnsi="仿宋_GB2312" w:cs="仿宋_GB2312"/>
        </w:rPr>
        <w:t>（一）“三公”</w:t>
      </w:r>
      <w:r>
        <w:rPr>
          <w:rFonts w:hint="eastAsia" w:ascii="仿宋_GB2312" w:hAnsi="仿宋_GB2312" w:cs="仿宋_GB2312"/>
          <w:spacing w:val="-6"/>
        </w:rPr>
        <w:t>经</w:t>
      </w:r>
      <w:r>
        <w:rPr>
          <w:rFonts w:hint="eastAsia" w:ascii="仿宋_GB2312" w:hAnsi="仿宋_GB2312" w:cs="仿宋_GB2312"/>
          <w:spacing w:val="-8"/>
        </w:rPr>
        <w:t>费财政拨款支出决算总体情况说明</w:t>
      </w:r>
    </w:p>
    <w:p>
      <w:pPr>
        <w:spacing w:line="580" w:lineRule="exact"/>
        <w:ind w:firstLine="320" w:firstLineChars="100"/>
        <w:rPr>
          <w:rFonts w:ascii="仿宋_GB2312" w:hAnsi="仿宋_GB2312" w:cs="仿宋_GB2312"/>
          <w:spacing w:val="-8"/>
        </w:rPr>
      </w:pPr>
      <w:r>
        <w:rPr>
          <w:rFonts w:hint="eastAsia" w:ascii="仿宋_GB2312" w:hAnsi="仿宋_GB2312" w:cs="仿宋_GB2312"/>
        </w:rPr>
        <w:t>（二）</w:t>
      </w:r>
      <w:r>
        <w:rPr>
          <w:rFonts w:hint="eastAsia" w:ascii="仿宋_GB2312" w:hAnsi="仿宋_GB2312" w:cs="仿宋_GB2312"/>
          <w:spacing w:val="-8"/>
        </w:rPr>
        <w:t xml:space="preserve"> “三公”经费财政拨款支出决算具体情况说明</w:t>
      </w:r>
    </w:p>
    <w:p>
      <w:pPr>
        <w:spacing w:line="580" w:lineRule="exact"/>
        <w:ind w:firstLine="320" w:firstLineChars="100"/>
        <w:rPr>
          <w:rFonts w:ascii="仿宋_GB2312" w:hAnsi="仿宋_GB2312" w:cs="仿宋_GB2312"/>
          <w:spacing w:val="-8"/>
        </w:rPr>
      </w:pPr>
      <w:r>
        <w:rPr>
          <w:rFonts w:hint="eastAsia" w:ascii="仿宋_GB2312" w:hAnsi="仿宋_GB2312" w:cs="仿宋_GB2312"/>
        </w:rPr>
        <w:t>（三）</w:t>
      </w:r>
      <w:r>
        <w:rPr>
          <w:rFonts w:hint="eastAsia" w:ascii="仿宋_GB2312" w:hAnsi="仿宋_GB2312" w:cs="仿宋_GB2312"/>
          <w:spacing w:val="-8"/>
        </w:rPr>
        <w:t>培训费支出情况说明</w:t>
      </w:r>
    </w:p>
    <w:p>
      <w:pPr>
        <w:spacing w:line="580" w:lineRule="exact"/>
        <w:ind w:firstLine="320" w:firstLineChars="100"/>
        <w:rPr>
          <w:rFonts w:ascii="仿宋_GB2312" w:hAnsi="仿宋_GB2312" w:cs="仿宋_GB2312"/>
        </w:rPr>
      </w:pPr>
      <w:r>
        <w:rPr>
          <w:rFonts w:hint="eastAsia" w:ascii="仿宋_GB2312" w:hAnsi="仿宋_GB2312" w:cs="仿宋_GB2312"/>
        </w:rPr>
        <w:t>（四）会议费支出情况说明</w:t>
      </w:r>
    </w:p>
    <w:p>
      <w:pPr>
        <w:spacing w:line="580" w:lineRule="exact"/>
        <w:rPr>
          <w:rFonts w:ascii="仿宋_GB2312" w:hAnsi="仿宋_GB2312" w:cs="仿宋_GB2312"/>
        </w:rPr>
      </w:pPr>
      <w:r>
        <w:rPr>
          <w:rFonts w:hint="eastAsia" w:ascii="仿宋_GB2312" w:hAnsi="仿宋_GB2312" w:cs="仿宋_GB2312"/>
        </w:rPr>
        <w:t>八、政府性基金预算财政拨款收入支出情况说明</w:t>
      </w:r>
    </w:p>
    <w:p>
      <w:pPr>
        <w:spacing w:line="580" w:lineRule="exact"/>
        <w:rPr>
          <w:rFonts w:ascii="仿宋_GB2312" w:hAnsi="仿宋_GB2312" w:cs="仿宋_GB2312"/>
        </w:rPr>
      </w:pPr>
      <w:r>
        <w:rPr>
          <w:rFonts w:hint="eastAsia" w:ascii="仿宋_GB2312" w:hAnsi="仿宋_GB2312" w:cs="仿宋_GB2312"/>
        </w:rPr>
        <w:t>九、国有资本经营财政拨款收入支出情况说明</w:t>
      </w:r>
    </w:p>
    <w:p>
      <w:pPr>
        <w:spacing w:line="580" w:lineRule="exact"/>
        <w:rPr>
          <w:rFonts w:ascii="仿宋_GB2312" w:hAnsi="仿宋_GB2312" w:cs="仿宋_GB2312"/>
        </w:rPr>
      </w:pPr>
      <w:r>
        <w:rPr>
          <w:rFonts w:hint="eastAsia" w:ascii="仿宋_GB2312" w:hAnsi="仿宋_GB2312" w:cs="仿宋_GB2312"/>
        </w:rPr>
        <w:t>十、预算绩效情况说明</w:t>
      </w:r>
    </w:p>
    <w:p>
      <w:pPr>
        <w:spacing w:line="580" w:lineRule="exact"/>
        <w:ind w:firstLine="320" w:firstLineChars="100"/>
        <w:rPr>
          <w:rFonts w:ascii="仿宋_GB2312" w:hAnsi="仿宋_GB2312" w:cs="仿宋_GB2312"/>
        </w:rPr>
      </w:pPr>
      <w:r>
        <w:rPr>
          <w:rFonts w:hint="eastAsia" w:ascii="仿宋_GB2312" w:hAnsi="仿宋_GB2312" w:cs="仿宋_GB2312"/>
        </w:rPr>
        <w:t>（一）预算绩效管理工作开展情况说明</w:t>
      </w:r>
    </w:p>
    <w:p>
      <w:pPr>
        <w:spacing w:line="580" w:lineRule="exact"/>
        <w:ind w:firstLine="320" w:firstLineChars="100"/>
        <w:rPr>
          <w:rFonts w:ascii="仿宋_GB2312" w:hAnsi="仿宋_GB2312" w:cs="仿宋_GB2312"/>
        </w:rPr>
      </w:pPr>
      <w:r>
        <w:rPr>
          <w:rFonts w:hint="eastAsia" w:ascii="仿宋_GB2312" w:hAnsi="仿宋_GB2312" w:cs="仿宋_GB2312"/>
        </w:rPr>
        <w:t>（二）部门决算中项目绩效自评结果</w:t>
      </w:r>
    </w:p>
    <w:p>
      <w:pPr>
        <w:spacing w:line="580" w:lineRule="exact"/>
        <w:rPr>
          <w:rFonts w:ascii="仿宋_GB2312" w:hAnsi="仿宋_GB2312" w:cs="仿宋_GB2312"/>
        </w:rPr>
      </w:pPr>
      <w:r>
        <w:rPr>
          <w:rFonts w:hint="eastAsia" w:ascii="仿宋_GB2312" w:hAnsi="仿宋_GB2312" w:cs="仿宋_GB2312"/>
        </w:rPr>
        <w:t>十一、其他重要事项说明</w:t>
      </w:r>
    </w:p>
    <w:p>
      <w:pPr>
        <w:spacing w:line="580" w:lineRule="exact"/>
        <w:ind w:firstLine="320" w:firstLineChars="100"/>
        <w:rPr>
          <w:rFonts w:ascii="仿宋_GB2312" w:hAnsi="仿宋_GB2312" w:cs="仿宋_GB2312"/>
        </w:rPr>
      </w:pPr>
      <w:r>
        <w:rPr>
          <w:rFonts w:hint="eastAsia" w:ascii="仿宋_GB2312" w:hAnsi="仿宋_GB2312" w:cs="仿宋_GB2312"/>
        </w:rPr>
        <w:t>（一）机关运行经费支出情况说明</w:t>
      </w:r>
    </w:p>
    <w:p>
      <w:pPr>
        <w:spacing w:line="580" w:lineRule="exact"/>
        <w:ind w:firstLine="320" w:firstLineChars="100"/>
        <w:rPr>
          <w:rFonts w:ascii="仿宋_GB2312" w:hAnsi="仿宋_GB2312" w:cs="仿宋_GB2312"/>
        </w:rPr>
      </w:pPr>
      <w:r>
        <w:rPr>
          <w:rFonts w:hint="eastAsia" w:ascii="仿宋_GB2312" w:hAnsi="仿宋_GB2312" w:cs="仿宋_GB2312"/>
        </w:rPr>
        <w:t>（二）政府采购支出情况说明</w:t>
      </w:r>
    </w:p>
    <w:p>
      <w:pPr>
        <w:spacing w:line="580" w:lineRule="exact"/>
        <w:ind w:firstLine="320" w:firstLineChars="100"/>
        <w:rPr>
          <w:rFonts w:ascii="仿宋_GB2312" w:hAnsi="仿宋_GB2312" w:cs="仿宋_GB2312"/>
        </w:rPr>
      </w:pPr>
      <w:r>
        <w:rPr>
          <w:rFonts w:hint="eastAsia" w:ascii="仿宋_GB2312" w:hAnsi="仿宋_GB2312" w:cs="仿宋_GB2312"/>
        </w:rPr>
        <w:t>（三）国有资产占用及购置情况说明</w:t>
      </w:r>
    </w:p>
    <w:p>
      <w:pPr>
        <w:spacing w:beforeLines="50" w:afterLines="50"/>
        <w:jc w:val="center"/>
        <w:rPr>
          <w:rFonts w:ascii="黑体" w:hAnsi="黑体" w:eastAsia="黑体" w:cs="黑体"/>
        </w:rPr>
      </w:pPr>
      <w:r>
        <w:rPr>
          <w:rFonts w:hint="eastAsia" w:ascii="黑体" w:hAnsi="黑体" w:eastAsia="黑体" w:cs="黑体"/>
        </w:rPr>
        <w:t>第四部分  专业名词解释</w:t>
      </w:r>
    </w:p>
    <w:p>
      <w:pPr>
        <w:jc w:val="center"/>
        <w:rPr>
          <w:rFonts w:ascii="仿宋_GB2312" w:hAnsi="仿宋_GB2312" w:cs="仿宋_GB2312"/>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spacing w:line="4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rPr>
      </w:pPr>
      <w:r>
        <w:rPr>
          <w:rFonts w:hint="eastAsia" w:ascii="黑体" w:hAnsi="黑体" w:eastAsia="黑体" w:cs="黑体"/>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华文楷体" w:hAnsi="华文楷体" w:eastAsia="华文楷体" w:cs="楷体_GB2312"/>
          <w:bCs/>
        </w:rPr>
      </w:pPr>
      <w:r>
        <w:rPr>
          <w:rFonts w:hint="eastAsia" w:ascii="华文楷体" w:hAnsi="华文楷体" w:eastAsia="华文楷体" w:cs="楷体_GB2312"/>
          <w:bCs/>
        </w:rPr>
        <w:t>（一）主要职责</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镇安县木王国家森林公园管理委员会成立于2013年12月，其主要职责是负责木王国家森林公园（木王山景区）的发展规划，开发建设、宣传营销和日常运营管理等工作，负责管委会机关安全、工程安全及计划生育、扶贫包村，信访维稳、安全生产、防汛防火、环境卫生、资源管护、党风廉政建设、干部作风建设、精神文明建设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华文楷体" w:hAnsi="华文楷体" w:eastAsia="华文楷体" w:cs="楷体_GB2312"/>
          <w:bCs/>
        </w:rPr>
      </w:pPr>
      <w:r>
        <w:rPr>
          <w:rFonts w:hint="eastAsia" w:ascii="华文楷体" w:hAnsi="华文楷体" w:eastAsia="华文楷体" w:cs="楷体_GB2312"/>
          <w:bCs/>
        </w:rPr>
        <w:t>内设机构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rPr>
        <w:t>管委会下设3个科室，分别是党政办公室、规划建设办公室和宣传办公室。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rPr>
      </w:pPr>
      <w:r>
        <w:rPr>
          <w:rFonts w:hint="eastAsia" w:ascii="黑体" w:hAnsi="黑体" w:eastAsia="黑体" w:cs="黑体"/>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cs="仿宋_GB2312"/>
        </w:rPr>
      </w:pPr>
      <w:r>
        <w:rPr>
          <w:rFonts w:hint="eastAsia" w:ascii="仿宋_GB2312" w:hAnsi="仿宋_GB2312" w:cs="仿宋_GB2312"/>
        </w:rPr>
        <w:t>纳入2020年本部门决算编制范围的单位共一个：</w:t>
      </w:r>
    </w:p>
    <w:tbl>
      <w:tblPr>
        <w:tblStyle w:val="1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74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1</w:t>
            </w:r>
          </w:p>
        </w:tc>
        <w:tc>
          <w:tcPr>
            <w:tcW w:w="74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sz w:val="28"/>
                <w:szCs w:val="28"/>
              </w:rPr>
            </w:pPr>
            <w:r>
              <w:rPr>
                <w:rFonts w:hint="eastAsia" w:ascii="仿宋_GB2312" w:hAnsi="仿宋_GB2312" w:cs="仿宋_GB2312"/>
                <w:sz w:val="28"/>
                <w:szCs w:val="28"/>
              </w:rPr>
              <w:t>镇安县木王国家森林公园管理委员会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2</w:t>
            </w:r>
          </w:p>
        </w:tc>
        <w:tc>
          <w:tcPr>
            <w:tcW w:w="74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3</w:t>
            </w:r>
          </w:p>
        </w:tc>
        <w:tc>
          <w:tcPr>
            <w:tcW w:w="74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w:t>
            </w:r>
          </w:p>
        </w:tc>
        <w:tc>
          <w:tcPr>
            <w:tcW w:w="74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p>
        </w:tc>
      </w:tr>
    </w:tbl>
    <w:p>
      <w:pPr>
        <w:spacing w:line="540" w:lineRule="exact"/>
        <w:ind w:firstLine="640" w:firstLineChars="200"/>
        <w:rPr>
          <w:rFonts w:ascii="黑体" w:hAnsi="黑体" w:eastAsia="黑体" w:cs="黑体"/>
        </w:rPr>
      </w:pPr>
      <w:r>
        <w:rPr>
          <w:rFonts w:hint="eastAsia" w:ascii="黑体" w:hAnsi="黑体" w:eastAsia="黑体" w:cs="黑体"/>
        </w:rPr>
        <w:t>三、部门人员情况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截止2020年底，镇安县木王国家森林公园管理委员会有编制12个，其中管理岗6名，专业技术岗6名。实有人员8人，其中管理人员2名，专业技术人员4名，事业工勤人员2名。</w:t>
      </w:r>
    </w:p>
    <w:p>
      <w:pPr>
        <w:spacing w:line="540" w:lineRule="exact"/>
        <w:rPr>
          <w:rFonts w:ascii="仿宋" w:hAnsi="仿宋" w:eastAsia="仿宋"/>
          <w:color w:val="FF0000"/>
        </w:rPr>
      </w:pPr>
    </w:p>
    <w:p>
      <w:pPr>
        <w:spacing w:line="540" w:lineRule="exact"/>
        <w:rPr>
          <w:rFonts w:ascii="仿宋" w:hAnsi="仿宋" w:eastAsia="仿宋"/>
          <w:color w:val="FF0000"/>
        </w:rPr>
      </w:pPr>
    </w:p>
    <w:p>
      <w:pPr>
        <w:tabs>
          <w:tab w:val="left" w:pos="1076"/>
        </w:tabs>
        <w:jc w:val="left"/>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ab/>
      </w:r>
      <w:r>
        <w:rPr>
          <w:rFonts w:hint="eastAsia" w:ascii="仿宋" w:hAnsi="仿宋" w:eastAsia="仿宋"/>
          <w:color w:val="FF0000"/>
        </w:rPr>
        <w:object>
          <v:shape id="_x0000_i1025" o:spt="75" type="#_x0000_t75" style="height:233pt;width:330.8pt;" o:ole="t" filled="f" o:preferrelative="t" stroked="f" coordsize="21600,21600">
            <v:path/>
            <v:fill on="f" focussize="0,0"/>
            <v:stroke on="f" joinstyle="miter"/>
            <v:imagedata r:id="rId6" o:title=""/>
            <o:lock v:ext="edit" aspectratio="t"/>
            <w10:wrap type="none"/>
            <w10:anchorlock/>
          </v:shape>
          <o:OLEObject Type="Embed" ProgID="Excel.Sheet.8" ShapeID="_x0000_i1025" DrawAspect="Content" ObjectID="_1468075725" r:id="rId5">
            <o:LockedField>false</o:LockedField>
          </o:OLEObject>
        </w:objec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10"/>
        <w:tblW w:w="895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4161"/>
        <w:gridCol w:w="143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6"/>
                <w:szCs w:val="26"/>
              </w:rPr>
            </w:pPr>
            <w:r>
              <w:rPr>
                <w:rFonts w:hint="eastAsia" w:ascii="黑体" w:hAnsi="黑体" w:eastAsia="黑体" w:cs="黑体"/>
                <w:sz w:val="26"/>
                <w:szCs w:val="26"/>
              </w:rPr>
              <w:t>序号</w:t>
            </w:r>
          </w:p>
        </w:tc>
        <w:tc>
          <w:tcPr>
            <w:tcW w:w="41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6"/>
                <w:szCs w:val="26"/>
              </w:rPr>
            </w:pPr>
            <w:r>
              <w:rPr>
                <w:rFonts w:hint="eastAsia" w:ascii="黑体" w:hAnsi="黑体" w:eastAsia="黑体" w:cs="黑体"/>
                <w:sz w:val="26"/>
                <w:szCs w:val="26"/>
              </w:rPr>
              <w:t>内容</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6"/>
                <w:szCs w:val="26"/>
              </w:rPr>
            </w:pPr>
            <w:r>
              <w:rPr>
                <w:rFonts w:hint="eastAsia" w:ascii="黑体" w:hAnsi="黑体" w:eastAsia="黑体" w:cs="黑体"/>
                <w:sz w:val="26"/>
                <w:szCs w:val="26"/>
              </w:rPr>
              <w:t>是否空表</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6"/>
                <w:szCs w:val="26"/>
              </w:rPr>
            </w:pPr>
            <w:r>
              <w:rPr>
                <w:rFonts w:hint="eastAsia" w:ascii="黑体" w:hAnsi="黑体" w:eastAsia="黑体" w:cs="黑体"/>
                <w:sz w:val="26"/>
                <w:szCs w:val="26"/>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表1</w:t>
            </w:r>
          </w:p>
        </w:tc>
        <w:tc>
          <w:tcPr>
            <w:tcW w:w="41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6"/>
                <w:szCs w:val="26"/>
              </w:rPr>
            </w:pPr>
            <w:r>
              <w:rPr>
                <w:rFonts w:hint="eastAsia" w:ascii="宋体" w:hAnsi="宋体" w:cs="宋体"/>
                <w:sz w:val="26"/>
                <w:szCs w:val="26"/>
              </w:rPr>
              <w:t>收入支出决算总表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表2</w:t>
            </w:r>
          </w:p>
        </w:tc>
        <w:tc>
          <w:tcPr>
            <w:tcW w:w="41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6"/>
                <w:szCs w:val="26"/>
              </w:rPr>
            </w:pPr>
            <w:r>
              <w:rPr>
                <w:rFonts w:hint="eastAsia" w:ascii="宋体" w:hAnsi="宋体" w:cs="宋体"/>
                <w:sz w:val="26"/>
                <w:szCs w:val="26"/>
              </w:rPr>
              <w:t>收入决算表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表3</w:t>
            </w:r>
          </w:p>
        </w:tc>
        <w:tc>
          <w:tcPr>
            <w:tcW w:w="41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6"/>
                <w:szCs w:val="26"/>
              </w:rPr>
            </w:pPr>
            <w:r>
              <w:rPr>
                <w:rFonts w:hint="eastAsia" w:ascii="宋体" w:hAnsi="宋体" w:cs="宋体"/>
                <w:sz w:val="26"/>
                <w:szCs w:val="26"/>
              </w:rPr>
              <w:t>支出决算表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表4</w:t>
            </w:r>
          </w:p>
        </w:tc>
        <w:tc>
          <w:tcPr>
            <w:tcW w:w="41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6"/>
                <w:szCs w:val="26"/>
              </w:rPr>
            </w:pPr>
            <w:r>
              <w:rPr>
                <w:rFonts w:hint="eastAsia" w:ascii="宋体" w:hAnsi="宋体" w:cs="宋体"/>
                <w:sz w:val="26"/>
                <w:szCs w:val="26"/>
              </w:rPr>
              <w:t>财政拨款收入支出决算总表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表5</w:t>
            </w:r>
          </w:p>
        </w:tc>
        <w:tc>
          <w:tcPr>
            <w:tcW w:w="416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6"/>
                <w:szCs w:val="26"/>
              </w:rPr>
            </w:pPr>
            <w:r>
              <w:rPr>
                <w:rFonts w:hint="eastAsia" w:ascii="宋体" w:hAnsi="宋体" w:cs="宋体"/>
                <w:sz w:val="26"/>
                <w:szCs w:val="26"/>
              </w:rPr>
              <w:t>一般公共预算财政拨款支出决算表（按功能分类科目）</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表6</w:t>
            </w:r>
          </w:p>
        </w:tc>
        <w:tc>
          <w:tcPr>
            <w:tcW w:w="416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6"/>
                <w:szCs w:val="26"/>
              </w:rPr>
            </w:pPr>
            <w:r>
              <w:rPr>
                <w:rFonts w:hint="eastAsia" w:ascii="宋体" w:hAnsi="宋体" w:cs="宋体"/>
                <w:sz w:val="26"/>
                <w:szCs w:val="26"/>
              </w:rPr>
              <w:t>一般公共预算财政拨款基本支出决算表（按经济分类科目）</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否</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表7</w:t>
            </w:r>
          </w:p>
        </w:tc>
        <w:tc>
          <w:tcPr>
            <w:tcW w:w="416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6"/>
                <w:szCs w:val="26"/>
              </w:rPr>
            </w:pPr>
            <w:r>
              <w:rPr>
                <w:rFonts w:hint="eastAsia" w:ascii="宋体" w:hAnsi="宋体" w:cs="宋体"/>
                <w:sz w:val="26"/>
                <w:szCs w:val="26"/>
              </w:rPr>
              <w:t>一般公共预算财政拨款“三公”经费及会议费、培训费支出决算表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是</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无三公经费支出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表8</w:t>
            </w:r>
          </w:p>
        </w:tc>
        <w:tc>
          <w:tcPr>
            <w:tcW w:w="416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6"/>
                <w:szCs w:val="26"/>
              </w:rPr>
            </w:pPr>
            <w:r>
              <w:rPr>
                <w:rFonts w:hint="eastAsia" w:ascii="宋体" w:hAnsi="宋体" w:cs="宋体"/>
                <w:sz w:val="26"/>
                <w:szCs w:val="26"/>
              </w:rPr>
              <w:t>政府性基金预算财政拨款收入支出决算表</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是</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6"/>
                <w:szCs w:val="26"/>
              </w:rPr>
            </w:pPr>
            <w:r>
              <w:rPr>
                <w:rFonts w:hint="eastAsia" w:ascii="宋体" w:hAnsi="宋体" w:cs="宋体"/>
                <w:sz w:val="26"/>
                <w:szCs w:val="26"/>
              </w:rPr>
              <w:t>无政府性基金财政拨款收入支出</w:t>
            </w:r>
          </w:p>
        </w:tc>
      </w:tr>
    </w:tbl>
    <w:p>
      <w:pPr>
        <w:rPr>
          <w:rFonts w:ascii="仿宋_GB2312" w:hAnsi="仿宋_GB2312" w:cs="仿宋_GB2312"/>
        </w:rPr>
      </w:pPr>
    </w:p>
    <w:p>
      <w:pPr>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ind w:firstLine="7057" w:firstLineChars="2929"/>
        <w:rPr>
          <w:rFonts w:ascii="仿宋_GB2312" w:hAnsi="仿宋_GB2312" w:cs="仿宋_GB2312"/>
          <w:b/>
          <w:bCs/>
          <w:sz w:val="24"/>
          <w:szCs w:val="24"/>
        </w:rPr>
      </w:pPr>
      <w:r>
        <w:rPr>
          <w:rFonts w:hint="eastAsia" w:ascii="仿宋_GB2312" w:hAnsi="仿宋_GB2312" w:cs="仿宋_GB2312"/>
          <w:b/>
          <w:bCs/>
          <w:sz w:val="24"/>
          <w:szCs w:val="24"/>
        </w:rPr>
        <w:t>公开01表</w:t>
      </w:r>
    </w:p>
    <w:p>
      <w:pPr>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120.39</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0"/>
                <w:szCs w:val="20"/>
              </w:rPr>
            </w:pPr>
            <w:r>
              <w:rPr>
                <w:rFonts w:hint="eastAsia" w:ascii="宋体" w:hAnsi="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120.39</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0.19</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120.58</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120.58</w:t>
            </w:r>
          </w:p>
        </w:tc>
      </w:tr>
    </w:tbl>
    <w:p>
      <w:pPr>
        <w:spacing w:line="300" w:lineRule="exact"/>
        <w:rPr>
          <w:rFonts w:ascii="仿宋_GB2312" w:hAnsi="仿宋_GB2312" w:cs="仿宋_GB2312"/>
          <w:b/>
          <w:bCs/>
          <w:sz w:val="24"/>
          <w:szCs w:val="24"/>
        </w:rPr>
      </w:pPr>
    </w:p>
    <w:p>
      <w:pPr>
        <w:spacing w:line="300" w:lineRule="exact"/>
        <w:ind w:firstLine="480" w:firstLineChars="200"/>
        <w:rPr>
          <w:rFonts w:ascii="仿宋_GB2312" w:hAnsi="仿宋_GB2312" w:cs="仿宋_GB2312"/>
          <w:sz w:val="24"/>
          <w:szCs w:val="24"/>
        </w:rPr>
      </w:pPr>
      <w:r>
        <w:rPr>
          <w:rFonts w:hint="eastAsia" w:ascii="仿宋_GB2312" w:hAnsi="仿宋_GB2312" w:cs="仿宋_GB2312"/>
          <w:sz w:val="24"/>
          <w:szCs w:val="24"/>
        </w:rPr>
        <w:t>注：本表反映部门本年度的总收支和年末结转结余情况。本表金额转换为万元时，因四舍五入可能存在尾差。</w:t>
      </w:r>
    </w:p>
    <w:p>
      <w:pPr>
        <w:spacing w:line="360" w:lineRule="exact"/>
        <w:jc w:val="center"/>
        <w:rPr>
          <w:rFonts w:ascii="方正小标宋简体" w:hAnsi="方正小标宋简体" w:eastAsia="方正小标宋简体" w:cs="方正小标宋简体"/>
          <w:sz w:val="36"/>
          <w:szCs w:val="36"/>
        </w:rPr>
      </w:pPr>
      <w:r>
        <w:rPr>
          <w:rFonts w:hint="eastAsia" w:ascii="仿宋_GB2312" w:hAnsi="仿宋_GB2312" w:cs="仿宋_GB2312"/>
          <w:b/>
          <w:bCs/>
          <w:sz w:val="24"/>
          <w:szCs w:val="24"/>
        </w:rPr>
        <w:br w:type="page"/>
      </w:r>
      <w:r>
        <w:rPr>
          <w:rFonts w:hint="eastAsia" w:ascii="方正小标宋简体" w:hAnsi="方正小标宋简体" w:eastAsia="方正小标宋简体" w:cs="方正小标宋简体"/>
          <w:sz w:val="36"/>
          <w:szCs w:val="36"/>
        </w:rPr>
        <w:t>收入决算表</w:t>
      </w:r>
    </w:p>
    <w:p>
      <w:pPr>
        <w:spacing w:line="300" w:lineRule="exact"/>
        <w:ind w:firstLine="7269" w:firstLineChars="3017"/>
        <w:rPr>
          <w:rFonts w:ascii="仿宋_GB2312" w:hAnsi="仿宋_GB2312" w:cs="仿宋_GB2312"/>
          <w:b/>
          <w:bCs/>
          <w:sz w:val="24"/>
          <w:szCs w:val="24"/>
        </w:rPr>
      </w:pPr>
      <w:r>
        <w:rPr>
          <w:rFonts w:hint="eastAsia" w:ascii="仿宋_GB2312" w:hAnsi="仿宋_GB2312" w:cs="仿宋_GB2312"/>
          <w:b/>
          <w:bCs/>
          <w:sz w:val="24"/>
          <w:szCs w:val="24"/>
        </w:rPr>
        <w:t>公开02表</w:t>
      </w:r>
    </w:p>
    <w:p>
      <w:pPr>
        <w:spacing w:line="300" w:lineRule="exact"/>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9528"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02"/>
        <w:gridCol w:w="850"/>
        <w:gridCol w:w="851"/>
        <w:gridCol w:w="708"/>
        <w:gridCol w:w="851"/>
        <w:gridCol w:w="850"/>
        <w:gridCol w:w="554"/>
        <w:gridCol w:w="906"/>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功能</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本年收入合计</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财政拨款收入</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上级补助收入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事业收入</w:t>
            </w:r>
          </w:p>
        </w:tc>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经营</w:t>
            </w:r>
          </w:p>
          <w:p>
            <w:pPr>
              <w:spacing w:line="300" w:lineRule="exact"/>
              <w:rPr>
                <w:rFonts w:ascii="宋体" w:hAnsi="宋体" w:cs="宋体"/>
                <w:bCs/>
                <w:sz w:val="18"/>
                <w:szCs w:val="18"/>
              </w:rPr>
            </w:pPr>
            <w:r>
              <w:rPr>
                <w:rFonts w:hint="eastAsia" w:ascii="宋体" w:hAnsi="宋体" w:cs="宋体"/>
                <w:b/>
                <w:bCs/>
                <w:sz w:val="18"/>
                <w:szCs w:val="18"/>
              </w:rPr>
              <w:t>收入</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bCs/>
                <w:sz w:val="18"/>
                <w:szCs w:val="18"/>
              </w:rPr>
            </w:pPr>
            <w:r>
              <w:rPr>
                <w:rFonts w:hint="eastAsia" w:ascii="宋体" w:hAnsi="宋体" w:cs="宋体"/>
                <w:b/>
                <w:bCs/>
                <w:sz w:val="18"/>
                <w:szCs w:val="18"/>
              </w:rPr>
              <w:t>附属单位上缴收入</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其他</w:t>
            </w:r>
          </w:p>
          <w:p>
            <w:pPr>
              <w:spacing w:line="300" w:lineRule="exact"/>
              <w:rPr>
                <w:rFonts w:ascii="宋体" w:hAnsi="宋体" w:cs="宋体"/>
                <w:bCs/>
                <w:sz w:val="18"/>
                <w:szCs w:val="18"/>
              </w:rPr>
            </w:pPr>
            <w:r>
              <w:rPr>
                <w:rFonts w:hint="eastAsia" w:ascii="宋体" w:hAnsi="宋体" w:cs="宋体"/>
                <w:b/>
                <w:bCs/>
                <w:sz w:val="18"/>
                <w:szCs w:val="18"/>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4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bCs/>
                <w:sz w:val="18"/>
                <w:szCs w:val="18"/>
              </w:rPr>
            </w:pPr>
            <w:r>
              <w:rPr>
                <w:rFonts w:hint="eastAsia" w:ascii="宋体" w:hAnsi="宋体" w:cs="宋体"/>
                <w:b/>
                <w:bCs/>
                <w:sz w:val="18"/>
                <w:szCs w:val="18"/>
              </w:rPr>
              <w:t>功能分类科目编码</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科目名称</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小计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其中：教育收费</w:t>
            </w:r>
          </w:p>
        </w:tc>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合计</w:t>
            </w:r>
          </w:p>
        </w:tc>
        <w:tc>
          <w:tcPr>
            <w:tcW w:w="85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18"/>
                <w:szCs w:val="18"/>
              </w:rPr>
            </w:pPr>
            <w:r>
              <w:rPr>
                <w:rFonts w:hint="eastAsia" w:ascii="宋体" w:hAnsi="宋体" w:cs="宋体"/>
                <w:sz w:val="18"/>
                <w:szCs w:val="18"/>
              </w:rPr>
              <w:t>120.39</w:t>
            </w:r>
          </w:p>
        </w:tc>
        <w:tc>
          <w:tcPr>
            <w:tcW w:w="851"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18"/>
                <w:szCs w:val="18"/>
              </w:rPr>
            </w:pPr>
            <w:r>
              <w:rPr>
                <w:rFonts w:hint="eastAsia" w:ascii="宋体" w:hAnsi="宋体" w:cs="宋体"/>
                <w:sz w:val="18"/>
                <w:szCs w:val="18"/>
              </w:rPr>
              <w:t>120.39</w:t>
            </w:r>
          </w:p>
        </w:tc>
        <w:tc>
          <w:tcPr>
            <w:tcW w:w="70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c>
          <w:tcPr>
            <w:tcW w:w="85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c>
          <w:tcPr>
            <w:tcW w:w="8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c>
          <w:tcPr>
            <w:tcW w:w="55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c>
          <w:tcPr>
            <w:tcW w:w="90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213</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农林水支出</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21302</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林业和草原</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2130204</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事业机构</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120.39</w:t>
            </w: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bl>
    <w:p>
      <w:pPr>
        <w:spacing w:line="300" w:lineRule="exact"/>
        <w:ind w:firstLine="360" w:firstLineChars="150"/>
        <w:rPr>
          <w:rFonts w:ascii="仿宋_GB2312" w:hAnsi="仿宋_GB2312" w:cs="仿宋_GB2312"/>
          <w:sz w:val="24"/>
          <w:szCs w:val="24"/>
        </w:rPr>
      </w:pPr>
      <w:r>
        <w:rPr>
          <w:rFonts w:hint="eastAsia" w:ascii="仿宋_GB2312" w:hAnsi="仿宋_GB2312" w:cs="仿宋_GB2312"/>
          <w:sz w:val="24"/>
          <w:szCs w:val="24"/>
        </w:rPr>
        <w:t>注：本表反映部门本年度取得的各项收入情况。本表金额转换为万元时，因四舍五入可能存在尾差。</w:t>
      </w: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3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spacing w:line="300" w:lineRule="exact"/>
        <w:ind w:firstLine="7057" w:firstLineChars="2929"/>
        <w:rPr>
          <w:rFonts w:ascii="仿宋_GB2312" w:hAnsi="仿宋_GB2312" w:cs="仿宋_GB2312"/>
          <w:b/>
          <w:bCs/>
          <w:sz w:val="24"/>
          <w:szCs w:val="24"/>
        </w:rPr>
      </w:pPr>
      <w:r>
        <w:rPr>
          <w:rFonts w:hint="eastAsia" w:ascii="仿宋_GB2312" w:hAnsi="仿宋_GB2312" w:cs="仿宋_GB2312"/>
          <w:b/>
          <w:bCs/>
          <w:sz w:val="24"/>
          <w:szCs w:val="24"/>
        </w:rPr>
        <w:t>公开03表</w:t>
      </w:r>
    </w:p>
    <w:p>
      <w:pPr>
        <w:spacing w:line="300" w:lineRule="exact"/>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975"/>
        <w:gridCol w:w="848"/>
        <w:gridCol w:w="994"/>
        <w:gridCol w:w="906"/>
        <w:gridCol w:w="906"/>
        <w:gridCol w:w="100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
                <w:bCs/>
                <w:sz w:val="18"/>
                <w:szCs w:val="18"/>
              </w:rPr>
              <w:t>功能</w:t>
            </w: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合计</w:t>
            </w:r>
          </w:p>
        </w:tc>
        <w:tc>
          <w:tcPr>
            <w:tcW w:w="99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基本支出</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项目支出</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上缴上级支出</w:t>
            </w:r>
          </w:p>
        </w:tc>
        <w:tc>
          <w:tcPr>
            <w:tcW w:w="100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经营支出</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18"/>
                <w:szCs w:val="18"/>
              </w:rPr>
            </w:pPr>
            <w:r>
              <w:rPr>
                <w:rFonts w:hint="eastAsia" w:ascii="宋体" w:hAnsi="宋体" w:cs="宋体"/>
                <w:b/>
                <w:bCs/>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r>
              <w:rPr>
                <w:rFonts w:hint="eastAsia" w:ascii="宋体" w:hAnsi="宋体" w:cs="宋体"/>
                <w:b/>
                <w:bCs/>
                <w:sz w:val="18"/>
                <w:szCs w:val="18"/>
              </w:rPr>
              <w:t>功能科目编码</w:t>
            </w:r>
          </w:p>
        </w:tc>
        <w:tc>
          <w:tcPr>
            <w:tcW w:w="1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bCs/>
                <w:sz w:val="18"/>
                <w:szCs w:val="18"/>
              </w:rPr>
            </w:pPr>
            <w:r>
              <w:rPr>
                <w:rFonts w:hint="eastAsia" w:ascii="宋体" w:hAnsi="宋体" w:cs="宋体"/>
                <w:b/>
                <w:bCs/>
                <w:sz w:val="18"/>
                <w:szCs w:val="18"/>
              </w:rPr>
              <w:t>科目名称</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2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合计</w:t>
            </w: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120.58</w:t>
            </w: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116.41</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4.17</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53"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213</w:t>
            </w:r>
          </w:p>
        </w:tc>
        <w:tc>
          <w:tcPr>
            <w:tcW w:w="1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农林水支出</w:t>
            </w: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120.58</w:t>
            </w: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116.41</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4.17</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21302</w:t>
            </w:r>
          </w:p>
        </w:tc>
        <w:tc>
          <w:tcPr>
            <w:tcW w:w="1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林业和草原</w:t>
            </w: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120.58</w:t>
            </w: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116.41</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4.17</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2130204</w:t>
            </w:r>
          </w:p>
        </w:tc>
        <w:tc>
          <w:tcPr>
            <w:tcW w:w="1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事业机构</w:t>
            </w: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120.28</w:t>
            </w: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116.41</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4.17</w:t>
            </w: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84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9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90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00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28"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bl>
    <w:p>
      <w:pPr>
        <w:spacing w:line="300" w:lineRule="exact"/>
        <w:ind w:firstLine="360" w:firstLineChars="150"/>
        <w:rPr>
          <w:rFonts w:ascii="仿宋_GB2312" w:hAnsi="仿宋_GB2312" w:cs="仿宋_GB2312"/>
          <w:sz w:val="24"/>
          <w:szCs w:val="24"/>
        </w:rPr>
      </w:pPr>
      <w:r>
        <w:rPr>
          <w:rFonts w:hint="eastAsia" w:ascii="仿宋_GB2312" w:hAnsi="仿宋_GB2312" w:cs="仿宋_GB2312"/>
          <w:sz w:val="24"/>
          <w:szCs w:val="24"/>
        </w:rPr>
        <w:t>注：本表反映部门本年度各项支出情况。本表金额转换为万元时，因四舍五入可能存在尾差。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仿宋_GB2312" w:hAnsi="仿宋_GB2312" w:cs="仿宋_GB2312"/>
          <w:sz w:val="24"/>
          <w:szCs w:val="24"/>
        </w:rPr>
        <w:br w:type="page"/>
      </w:r>
      <w:r>
        <w:rPr>
          <w:rFonts w:hint="eastAsia" w:ascii="方正小标宋简体" w:hAnsi="方正小标宋简体" w:eastAsia="方正小标宋简体" w:cs="方正小标宋简体"/>
          <w:sz w:val="36"/>
          <w:szCs w:val="36"/>
        </w:rPr>
        <w:t>财政拨款收入支出决算总表</w:t>
      </w:r>
    </w:p>
    <w:p>
      <w:pPr>
        <w:ind w:firstLine="7170" w:firstLineChars="2976"/>
        <w:rPr>
          <w:rFonts w:ascii="仿宋_GB2312" w:hAnsi="仿宋_GB2312" w:cs="仿宋_GB2312"/>
          <w:b/>
          <w:bCs/>
          <w:sz w:val="24"/>
          <w:szCs w:val="24"/>
        </w:rPr>
      </w:pPr>
      <w:r>
        <w:rPr>
          <w:rFonts w:hint="eastAsia" w:ascii="仿宋_GB2312" w:hAnsi="仿宋_GB2312" w:cs="仿宋_GB2312"/>
          <w:b/>
          <w:bCs/>
          <w:sz w:val="24"/>
          <w:szCs w:val="24"/>
        </w:rPr>
        <w:t>公开04表</w:t>
      </w:r>
    </w:p>
    <w:p>
      <w:pPr>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04"/>
        <w:gridCol w:w="1649"/>
        <w:gridCol w:w="918"/>
        <w:gridCol w:w="151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4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收入</w:t>
            </w:r>
          </w:p>
        </w:tc>
        <w:tc>
          <w:tcPr>
            <w:tcW w:w="559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项目</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0"/>
                <w:szCs w:val="20"/>
              </w:rPr>
            </w:pPr>
            <w:r>
              <w:rPr>
                <w:rFonts w:hint="eastAsia" w:ascii="宋体" w:hAnsi="宋体" w:cs="宋体"/>
                <w:b/>
                <w:bCs/>
                <w:sz w:val="20"/>
                <w:szCs w:val="20"/>
              </w:rPr>
              <w:t>决算数</w:t>
            </w: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项目</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0"/>
                <w:szCs w:val="20"/>
              </w:rPr>
            </w:pPr>
            <w:r>
              <w:rPr>
                <w:rFonts w:hint="eastAsia" w:ascii="宋体" w:hAnsi="宋体" w:cs="宋体"/>
                <w:b/>
                <w:bCs/>
                <w:sz w:val="20"/>
                <w:szCs w:val="20"/>
              </w:rPr>
              <w:t>合计</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一般公共预算财政拨款</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0"/>
                <w:szCs w:val="20"/>
              </w:rPr>
            </w:pPr>
            <w:r>
              <w:rPr>
                <w:rFonts w:hint="eastAsia" w:ascii="宋体" w:hAnsi="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1、一般公共预算财政拨款</w:t>
            </w: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120.39</w:t>
            </w: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1、一般公共服务支出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2、政府性基金预算财政拨款</w:t>
            </w: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2、外交支出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3、国有资本经营预算收入</w:t>
            </w: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3、国防支出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5、文化旅游体育与传媒支出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8、社会保障和就业支出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9、农林水支出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120.58</w:t>
            </w: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14、资源勘探信息等支出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15、商业服务业等支出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16、金融支出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r>
              <w:rPr>
                <w:rFonts w:hint="eastAsia" w:ascii="宋体" w:hAnsi="宋体" w:cs="宋体"/>
                <w:sz w:val="20"/>
                <w:szCs w:val="20"/>
              </w:rPr>
              <w:t>19、住房保障支出</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b/>
                <w:bCs/>
                <w:sz w:val="20"/>
                <w:szCs w:val="20"/>
              </w:rPr>
              <w:t>本年收入合计</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sz w:val="20"/>
                <w:szCs w:val="20"/>
              </w:rPr>
              <w:t>120.39</w:t>
            </w: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b/>
                <w:bCs/>
                <w:sz w:val="20"/>
                <w:szCs w:val="20"/>
              </w:rPr>
              <w:t>本年支出合计</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120.58</w:t>
            </w: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0"/>
                <w:szCs w:val="20"/>
              </w:rPr>
            </w:pPr>
            <w:r>
              <w:rPr>
                <w:rFonts w:hint="eastAsia" w:ascii="宋体" w:hAnsi="宋体" w:cs="宋体"/>
                <w:sz w:val="20"/>
                <w:szCs w:val="20"/>
              </w:rPr>
              <w:t>年初财政拨款结转和结余</w:t>
            </w:r>
          </w:p>
        </w:tc>
        <w:tc>
          <w:tcPr>
            <w:tcW w:w="90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0"/>
                <w:szCs w:val="20"/>
              </w:rPr>
            </w:pPr>
            <w:r>
              <w:rPr>
                <w:rFonts w:hint="eastAsia" w:ascii="宋体" w:hAnsi="宋体" w:cs="宋体"/>
                <w:sz w:val="20"/>
                <w:szCs w:val="20"/>
              </w:rPr>
              <w:t>0.19</w:t>
            </w:r>
          </w:p>
        </w:tc>
        <w:tc>
          <w:tcPr>
            <w:tcW w:w="1649"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0"/>
                <w:szCs w:val="20"/>
              </w:rPr>
            </w:pPr>
            <w:r>
              <w:rPr>
                <w:rFonts w:hint="eastAsia" w:ascii="宋体" w:hAnsi="宋体" w:cs="宋体"/>
                <w:sz w:val="20"/>
                <w:szCs w:val="20"/>
              </w:rPr>
              <w:t>年末财政拨款结转和结余</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一、一般公共预算财政拨款</w:t>
            </w: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二、政府性基金预算财政拨款</w:t>
            </w: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64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b/>
                <w:bCs/>
                <w:sz w:val="20"/>
                <w:szCs w:val="20"/>
              </w:rPr>
              <w:t>收入总计</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sz w:val="20"/>
                <w:szCs w:val="20"/>
              </w:rPr>
              <w:t>120.58</w:t>
            </w:r>
          </w:p>
        </w:tc>
        <w:tc>
          <w:tcPr>
            <w:tcW w:w="16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r>
              <w:rPr>
                <w:rFonts w:hint="eastAsia" w:ascii="宋体" w:hAnsi="宋体" w:cs="宋体"/>
                <w:b/>
                <w:bCs/>
                <w:sz w:val="20"/>
                <w:szCs w:val="20"/>
              </w:rPr>
              <w:t>支出总计</w:t>
            </w:r>
          </w:p>
        </w:tc>
        <w:tc>
          <w:tcPr>
            <w:tcW w:w="9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5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r>
              <w:rPr>
                <w:rFonts w:hint="eastAsia" w:ascii="宋体" w:hAnsi="宋体" w:cs="宋体"/>
                <w:sz w:val="20"/>
                <w:szCs w:val="20"/>
              </w:rPr>
              <w:t>120.58</w:t>
            </w:r>
          </w:p>
        </w:tc>
        <w:tc>
          <w:tcPr>
            <w:tcW w:w="151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bl>
    <w:p>
      <w:pPr>
        <w:spacing w:line="360" w:lineRule="exact"/>
        <w:ind w:firstLine="400" w:firstLineChars="200"/>
        <w:rPr>
          <w:rFonts w:ascii="仿宋_GB2312" w:hAnsi="仿宋_GB2312" w:cs="仿宋_GB2312"/>
          <w:sz w:val="20"/>
          <w:szCs w:val="20"/>
        </w:rPr>
      </w:pPr>
      <w:r>
        <w:rPr>
          <w:rFonts w:hint="eastAsia" w:ascii="仿宋_GB2312" w:hAnsi="仿宋_GB2312" w:cs="仿宋_GB2312"/>
          <w:sz w:val="20"/>
          <w:szCs w:val="20"/>
        </w:rPr>
        <w:t>注：本表反映部门本年度一般公共预算财政拨款和政府性基金预算财政拨款的总收支和年末结转结余情况。本表金额转换为万元时，因四舍五入可能存在尾差。</w:t>
      </w:r>
    </w:p>
    <w:p>
      <w:pPr>
        <w:jc w:val="center"/>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一般公共预算财政拨款支出决算表（按功能分类科目）</w:t>
      </w:r>
    </w:p>
    <w:p>
      <w:pPr>
        <w:spacing w:line="300" w:lineRule="exact"/>
        <w:ind w:firstLine="7170" w:firstLineChars="2976"/>
        <w:rPr>
          <w:rFonts w:ascii="仿宋_GB2312" w:hAnsi="仿宋_GB2312" w:cs="仿宋_GB2312"/>
          <w:b/>
          <w:bCs/>
          <w:sz w:val="24"/>
          <w:szCs w:val="24"/>
        </w:rPr>
      </w:pPr>
      <w:r>
        <w:rPr>
          <w:rFonts w:hint="eastAsia" w:ascii="仿宋_GB2312" w:hAnsi="仿宋_GB2312" w:cs="仿宋_GB2312"/>
          <w:b/>
          <w:bCs/>
          <w:sz w:val="24"/>
          <w:szCs w:val="24"/>
        </w:rPr>
        <w:t>公开05表</w:t>
      </w:r>
    </w:p>
    <w:p>
      <w:pPr>
        <w:spacing w:line="300" w:lineRule="exact"/>
        <w:ind w:firstLine="236" w:firstLineChars="98"/>
        <w:rPr>
          <w:rFonts w:ascii="仿宋_GB2312" w:hAnsi="仿宋_GB2312" w:cs="仿宋_GB2312"/>
          <w:b/>
          <w:bCs/>
          <w:sz w:val="24"/>
          <w:szCs w:val="24"/>
        </w:rPr>
      </w:pPr>
      <w:r>
        <w:rPr>
          <w:rFonts w:hint="eastAsia" w:ascii="仿宋_GB2312" w:hAnsi="仿宋_GB2312" w:cs="仿宋_GB2312"/>
          <w:b/>
          <w:bCs/>
          <w:sz w:val="24"/>
          <w:szCs w:val="24"/>
        </w:rPr>
        <w:t>编制部门：镇安县木王国家森林管理委员会             金额单位：万元</w:t>
      </w:r>
    </w:p>
    <w:tbl>
      <w:tblPr>
        <w:tblStyle w:val="10"/>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52"/>
        <w:gridCol w:w="842"/>
        <w:gridCol w:w="849"/>
        <w:gridCol w:w="949"/>
        <w:gridCol w:w="1134"/>
        <w:gridCol w:w="104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项目</w:t>
            </w: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本年支出合计</w:t>
            </w:r>
          </w:p>
        </w:tc>
        <w:tc>
          <w:tcPr>
            <w:tcW w:w="293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基本支出</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项目支出</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功能分类科目编码</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科目名称</w:t>
            </w: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小计</w:t>
            </w: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人员经费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公用经费</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0"/>
                <w:szCs w:val="20"/>
              </w:rPr>
            </w:pPr>
            <w:r>
              <w:rPr>
                <w:rFonts w:hint="eastAsia" w:ascii="宋体" w:hAnsi="宋体" w:cs="宋体"/>
                <w:sz w:val="20"/>
                <w:szCs w:val="20"/>
              </w:rPr>
              <w:t>213</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农林水支出</w:t>
            </w: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120.58</w:t>
            </w: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78.19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38.22</w:t>
            </w: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4.17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21302</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林业和草原</w:t>
            </w: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120.58</w:t>
            </w: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78.19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38.22</w:t>
            </w: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4.17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r>
              <w:rPr>
                <w:rFonts w:hint="eastAsia" w:ascii="宋体" w:hAnsi="宋体" w:cs="宋体"/>
                <w:sz w:val="20"/>
                <w:szCs w:val="20"/>
              </w:rPr>
              <w:t>2130204</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r>
              <w:rPr>
                <w:rFonts w:hint="eastAsia" w:ascii="宋体" w:hAnsi="宋体" w:cs="宋体"/>
                <w:sz w:val="20"/>
                <w:szCs w:val="20"/>
              </w:rPr>
              <w:t>事业机构</w:t>
            </w: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120.58</w:t>
            </w: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78.19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38.22</w:t>
            </w: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Cs/>
                <w:sz w:val="20"/>
                <w:szCs w:val="20"/>
              </w:rPr>
              <w:t>4.17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szCs w:val="20"/>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bl>
    <w:p>
      <w:pPr>
        <w:spacing w:line="300" w:lineRule="exact"/>
        <w:ind w:firstLine="400" w:firstLineChars="200"/>
        <w:jc w:val="left"/>
        <w:rPr>
          <w:rFonts w:ascii="仿宋_GB2312" w:hAnsi="仿宋_GB2312" w:cs="仿宋_GB2312"/>
          <w:sz w:val="20"/>
          <w:szCs w:val="20"/>
        </w:rPr>
      </w:pPr>
      <w:r>
        <w:rPr>
          <w:rFonts w:hint="eastAsia" w:ascii="仿宋_GB2312" w:hAnsi="仿宋_GB2312" w:cs="仿宋_GB2312"/>
          <w:sz w:val="20"/>
          <w:szCs w:val="20"/>
        </w:rPr>
        <w:t>注：本表反映部门本年度一般公共预算财政拨款实际支出情况。本表金额转换为万元时，因四舍五入可能存在尾差。</w:t>
      </w:r>
    </w:p>
    <w:p>
      <w:pPr>
        <w:spacing w:line="360" w:lineRule="exact"/>
        <w:jc w:val="center"/>
        <w:rPr>
          <w:rFonts w:ascii="方正小标宋简体" w:hAnsi="方正小标宋简体" w:eastAsia="方正小标宋简体" w:cs="方正小标宋简体"/>
        </w:rPr>
      </w:pPr>
    </w:p>
    <w:p>
      <w:pPr>
        <w:spacing w:line="360" w:lineRule="exact"/>
        <w:jc w:val="center"/>
        <w:rPr>
          <w:rFonts w:ascii="方正小标宋简体" w:hAnsi="方正小标宋简体" w:eastAsia="方正小标宋简体" w:cs="方正小标宋简体"/>
        </w:rPr>
      </w:pPr>
    </w:p>
    <w:p>
      <w:pP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br w:type="page"/>
      </w:r>
    </w:p>
    <w:p>
      <w:pPr>
        <w:spacing w:line="3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一般公共预算财政拨款基本支出决算表（按经济分类科目）</w:t>
      </w:r>
    </w:p>
    <w:p>
      <w:pPr>
        <w:spacing w:line="360" w:lineRule="exact"/>
        <w:ind w:firstLine="7284" w:firstLineChars="3023"/>
        <w:rPr>
          <w:rFonts w:ascii="仿宋_GB2312" w:hAnsi="仿宋_GB2312" w:cs="仿宋_GB2312"/>
          <w:b/>
          <w:bCs/>
          <w:sz w:val="24"/>
          <w:szCs w:val="24"/>
        </w:rPr>
      </w:pPr>
    </w:p>
    <w:p>
      <w:pPr>
        <w:spacing w:line="360" w:lineRule="exact"/>
        <w:ind w:firstLine="7284" w:firstLineChars="3023"/>
        <w:rPr>
          <w:rFonts w:ascii="仿宋_GB2312" w:hAnsi="仿宋_GB2312" w:cs="仿宋_GB2312"/>
          <w:b/>
          <w:bCs/>
          <w:sz w:val="24"/>
          <w:szCs w:val="24"/>
        </w:rPr>
      </w:pPr>
      <w:r>
        <w:rPr>
          <w:rFonts w:hint="eastAsia" w:ascii="仿宋_GB2312" w:hAnsi="仿宋_GB2312" w:cs="仿宋_GB2312"/>
          <w:b/>
          <w:bCs/>
          <w:sz w:val="24"/>
          <w:szCs w:val="24"/>
        </w:rPr>
        <w:t>公开06表</w:t>
      </w:r>
    </w:p>
    <w:p>
      <w:pPr>
        <w:spacing w:line="300" w:lineRule="exact"/>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550"/>
        <w:gridCol w:w="985"/>
        <w:gridCol w:w="1222"/>
        <w:gridCol w:w="1321"/>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0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项目</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本年支出合计</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人员经费</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公用经费</w:t>
            </w:r>
          </w:p>
        </w:tc>
        <w:tc>
          <w:tcPr>
            <w:tcW w:w="114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r>
              <w:rPr>
                <w:rFonts w:hint="eastAsia" w:ascii="宋体" w:hAnsi="宋体" w:cs="宋体"/>
                <w:b/>
                <w:bCs/>
                <w:sz w:val="20"/>
                <w:szCs w:val="20"/>
              </w:rPr>
              <w:t>经济分类科目</w:t>
            </w:r>
          </w:p>
        </w:tc>
        <w:tc>
          <w:tcPr>
            <w:tcW w:w="2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科目名称</w:t>
            </w: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40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r>
              <w:rPr>
                <w:rFonts w:hint="eastAsia" w:ascii="宋体" w:hAnsi="宋体" w:cs="宋体"/>
                <w:b/>
                <w:bCs/>
                <w:sz w:val="20"/>
                <w:szCs w:val="20"/>
              </w:rPr>
              <w:t>合计</w:t>
            </w:r>
          </w:p>
        </w:tc>
        <w:tc>
          <w:tcPr>
            <w:tcW w:w="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sz w:val="20"/>
                <w:szCs w:val="20"/>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301</w:t>
            </w: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工资福利支出</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78.19</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78.19</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r>
              <w:rPr>
                <w:rFonts w:hint="eastAsia" w:ascii="宋体" w:hAnsi="宋体" w:cs="宋体"/>
                <w:sz w:val="20"/>
                <w:szCs w:val="20"/>
              </w:rPr>
              <w:t>30101</w:t>
            </w: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基本工资</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31.13</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31.13</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津贴补贴</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18.64</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18.64</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绩效工资</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10.71</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10.71</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养老保险</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8.91</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8.91</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奖金</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8.8</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8.8</w:t>
            </w: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302</w:t>
            </w: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商品和服务支出</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38.22</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38.22</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办公费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1.34</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1.34</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电费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1.67</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1.67</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邮电费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1.42</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1.42</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差旅费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5.63</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5.63</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维修费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1.72</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1.72</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劳务费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5.79</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5.79</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委托业务费</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15.25</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15.25</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其他交通费用</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2.4</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2.4</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sz w:val="20"/>
                <w:szCs w:val="20"/>
              </w:rPr>
            </w:pPr>
          </w:p>
        </w:tc>
        <w:tc>
          <w:tcPr>
            <w:tcW w:w="255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其他商品和服务支出</w:t>
            </w:r>
          </w:p>
        </w:tc>
        <w:tc>
          <w:tcPr>
            <w:tcW w:w="9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3.0</w:t>
            </w: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c>
          <w:tcPr>
            <w:tcW w:w="13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r>
              <w:rPr>
                <w:rFonts w:hint="eastAsia" w:ascii="宋体" w:hAnsi="宋体" w:cs="宋体"/>
                <w:sz w:val="20"/>
                <w:szCs w:val="20"/>
              </w:rPr>
              <w:t>3.0</w:t>
            </w: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20"/>
                <w:szCs w:val="20"/>
              </w:rPr>
            </w:pPr>
          </w:p>
        </w:tc>
      </w:tr>
    </w:tbl>
    <w:p>
      <w:pPr>
        <w:spacing w:line="300" w:lineRule="exact"/>
        <w:ind w:firstLine="400" w:firstLineChars="200"/>
        <w:rPr>
          <w:rFonts w:ascii="宋体" w:hAnsi="宋体" w:cs="宋体"/>
          <w:sz w:val="20"/>
          <w:szCs w:val="20"/>
        </w:rPr>
      </w:pPr>
      <w:r>
        <w:rPr>
          <w:rFonts w:hint="eastAsia" w:ascii="宋体" w:hAnsi="宋体" w:cs="宋体"/>
          <w:sz w:val="20"/>
          <w:szCs w:val="20"/>
        </w:rPr>
        <w:t>注：本表反映部门本年一般公共预算财政拨款基本支出情况。单位万元时，因四舍五入可能存在尾差。</w:t>
      </w:r>
    </w:p>
    <w:p>
      <w:pPr>
        <w:spacing w:line="360" w:lineRule="exact"/>
        <w:jc w:val="center"/>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一般公共预算财政拨款“三公”经费及</w:t>
      </w:r>
    </w:p>
    <w:p>
      <w:pPr>
        <w:spacing w:line="3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会议费、培训费支出决算表</w:t>
      </w:r>
    </w:p>
    <w:p>
      <w:pPr>
        <w:spacing w:line="360" w:lineRule="exact"/>
        <w:ind w:firstLine="7284" w:firstLineChars="3023"/>
        <w:rPr>
          <w:rFonts w:ascii="仿宋_GB2312" w:hAnsi="仿宋_GB2312" w:cs="仿宋_GB2312"/>
          <w:b/>
          <w:bCs/>
          <w:sz w:val="24"/>
          <w:szCs w:val="24"/>
        </w:rPr>
      </w:pPr>
      <w:r>
        <w:rPr>
          <w:rFonts w:hint="eastAsia" w:ascii="仿宋_GB2312" w:hAnsi="仿宋_GB2312" w:cs="仿宋_GB2312"/>
          <w:b/>
          <w:bCs/>
          <w:sz w:val="24"/>
          <w:szCs w:val="24"/>
        </w:rPr>
        <w:t>公开07表</w:t>
      </w:r>
    </w:p>
    <w:p>
      <w:pPr>
        <w:spacing w:line="360" w:lineRule="exact"/>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886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05"/>
        <w:gridCol w:w="1007"/>
        <w:gridCol w:w="1007"/>
        <w:gridCol w:w="1007"/>
        <w:gridCol w:w="1007"/>
        <w:gridCol w:w="1007"/>
        <w:gridCol w:w="10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2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项目</w:t>
            </w:r>
          </w:p>
        </w:tc>
        <w:tc>
          <w:tcPr>
            <w:tcW w:w="604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一般公共预算财政拨款安排的“三公”经费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小计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因公出国（境）费用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公务接待费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小计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公务用车购置费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公务用车运行维护费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会议费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2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0"/>
                <w:szCs w:val="20"/>
              </w:rPr>
            </w:pPr>
            <w:r>
              <w:rPr>
                <w:rFonts w:hint="eastAsia" w:ascii="宋体" w:hAnsi="宋体" w:cs="宋体"/>
                <w:b/>
                <w:bCs/>
                <w:sz w:val="20"/>
                <w:szCs w:val="20"/>
              </w:rPr>
              <w:t>预算数</w:t>
            </w:r>
          </w:p>
        </w:tc>
        <w:tc>
          <w:tcPr>
            <w:tcW w:w="10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Cs/>
                <w:sz w:val="20"/>
                <w:szCs w:val="20"/>
              </w:rPr>
            </w:pPr>
            <w:r>
              <w:rPr>
                <w:rFonts w:hint="eastAsia" w:ascii="宋体" w:hAnsi="宋体" w:cs="宋体"/>
                <w:b/>
                <w:bCs/>
                <w:sz w:val="20"/>
                <w:szCs w:val="20"/>
              </w:rPr>
              <w:t>决算数</w:t>
            </w:r>
          </w:p>
        </w:tc>
        <w:tc>
          <w:tcPr>
            <w:tcW w:w="10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100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c>
          <w:tcPr>
            <w:tcW w:w="90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0"/>
                <w:szCs w:val="20"/>
              </w:rPr>
            </w:pPr>
          </w:p>
        </w:tc>
      </w:tr>
    </w:tbl>
    <w:p>
      <w:pPr>
        <w:spacing w:line="360" w:lineRule="exact"/>
        <w:ind w:firstLine="400" w:firstLineChars="200"/>
        <w:rPr>
          <w:rFonts w:ascii="方正小标宋简体" w:hAnsi="方正小标宋简体" w:eastAsia="方正小标宋简体" w:cs="方正小标宋简体"/>
          <w:sz w:val="36"/>
          <w:szCs w:val="36"/>
        </w:rPr>
      </w:pPr>
      <w:r>
        <w:rPr>
          <w:rFonts w:hint="eastAsia" w:ascii="宋体" w:hAnsi="宋体" w:cs="宋体"/>
          <w:sz w:val="20"/>
          <w:szCs w:val="20"/>
        </w:rPr>
        <w:t>注：本表反映部门本年度一般公共预算财政拨款“三公”经费、会议费、培训费的预算数和实际支出。预算数为调整预算数。本表金额转换为万元时，因四舍五入可能存在尾差。</w:t>
      </w: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360" w:lineRule="exact"/>
        <w:ind w:firstLine="720" w:firstLineChars="2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spacing w:line="360" w:lineRule="exact"/>
        <w:ind w:firstLine="7057" w:firstLineChars="2929"/>
        <w:rPr>
          <w:rFonts w:ascii="仿宋_GB2312" w:hAnsi="仿宋_GB2312" w:cs="仿宋_GB2312"/>
          <w:b/>
          <w:bCs/>
          <w:sz w:val="24"/>
          <w:szCs w:val="24"/>
        </w:rPr>
      </w:pPr>
      <w:r>
        <w:rPr>
          <w:rFonts w:hint="eastAsia" w:ascii="仿宋_GB2312" w:hAnsi="仿宋_GB2312" w:cs="仿宋_GB2312"/>
          <w:b/>
          <w:bCs/>
          <w:sz w:val="24"/>
          <w:szCs w:val="24"/>
        </w:rPr>
        <w:t>公开08表</w:t>
      </w:r>
    </w:p>
    <w:p>
      <w:pPr>
        <w:spacing w:line="360" w:lineRule="exact"/>
        <w:rPr>
          <w:rFonts w:ascii="仿宋_GB2312" w:hAnsi="仿宋_GB2312" w:cs="仿宋_GB2312"/>
          <w:b/>
          <w:bCs/>
          <w:sz w:val="24"/>
          <w:szCs w:val="24"/>
        </w:rPr>
      </w:pPr>
      <w:r>
        <w:rPr>
          <w:rFonts w:hint="eastAsia" w:ascii="仿宋_GB2312" w:hAnsi="仿宋_GB2312" w:cs="仿宋_GB2312"/>
          <w:b/>
          <w:bCs/>
          <w:sz w:val="24"/>
          <w:szCs w:val="24"/>
        </w:rPr>
        <w:t>编制部门：镇安县木王国家森林公园管理委员会        金额单位：万元</w:t>
      </w:r>
    </w:p>
    <w:tbl>
      <w:tblPr>
        <w:tblStyle w:val="10"/>
        <w:tblW w:w="885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项  目</w:t>
            </w: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年初结转和结余</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本年收入</w:t>
            </w:r>
          </w:p>
        </w:tc>
        <w:tc>
          <w:tcPr>
            <w:tcW w:w="339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本年支出</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科目名称</w:t>
            </w: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小计</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基本支出</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项目支出</w:t>
            </w: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r>
              <w:rPr>
                <w:rFonts w:hint="eastAsia" w:ascii="宋体" w:hAnsi="宋体" w:cs="宋体"/>
                <w:b/>
                <w:bCs/>
                <w:sz w:val="20"/>
                <w:szCs w:val="20"/>
              </w:rPr>
              <w:t>合计</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0"/>
                <w:szCs w:val="20"/>
              </w:rPr>
            </w:pPr>
          </w:p>
        </w:tc>
      </w:tr>
    </w:tbl>
    <w:p>
      <w:pPr>
        <w:spacing w:line="360" w:lineRule="exact"/>
        <w:ind w:firstLine="400" w:firstLineChars="200"/>
        <w:rPr>
          <w:rFonts w:ascii="宋体" w:hAnsi="宋体" w:cs="宋体"/>
          <w:sz w:val="20"/>
          <w:szCs w:val="20"/>
        </w:rPr>
      </w:pPr>
      <w:r>
        <w:rPr>
          <w:rFonts w:hint="eastAsia" w:ascii="宋体" w:hAnsi="宋体" w:cs="宋体"/>
          <w:sz w:val="20"/>
          <w:szCs w:val="20"/>
        </w:rPr>
        <w:t>注：本表反映部门本年度政府性基金预算财政拨款收入支出及结转和结余情况，本部门无政府性基金预算拨款收支项目。</w:t>
      </w:r>
    </w:p>
    <w:p>
      <w:pPr>
        <w:jc w:val="center"/>
        <w:rPr>
          <w:rFonts w:ascii="方正小标宋简体" w:hAnsi="方正小标宋简体" w:eastAsia="方正小标宋简体" w:cs="方正小标宋简体"/>
          <w:sz w:val="40"/>
          <w:szCs w:val="40"/>
        </w:rPr>
      </w:pPr>
      <w:r>
        <w:rPr>
          <w:rFonts w:hint="eastAsia" w:ascii="宋体" w:hAnsi="宋体" w:cs="宋体"/>
          <w:sz w:val="20"/>
          <w:szCs w:val="20"/>
        </w:rPr>
        <w:br w:type="page"/>
      </w:r>
      <w:r>
        <w:rPr>
          <w:rFonts w:hint="eastAsia" w:ascii="方正小标宋简体" w:hAnsi="方正小标宋简体" w:eastAsia="方正小标宋简体" w:cs="方正小标宋简体"/>
          <w:sz w:val="40"/>
          <w:szCs w:val="40"/>
        </w:rPr>
        <w:t>第三部分  2020年部门决算情况说明</w:t>
      </w: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一、收入支出决算总体情况说明</w:t>
      </w:r>
    </w:p>
    <w:p>
      <w:pPr>
        <w:spacing w:line="500" w:lineRule="exact"/>
        <w:ind w:firstLine="600" w:firstLineChars="200"/>
        <w:rPr>
          <w:rFonts w:ascii="仿宋_GB2312" w:hAnsi="仿宋_GB2312" w:cs="仿宋_GB2312"/>
          <w:color w:val="FF0000"/>
          <w:sz w:val="30"/>
          <w:szCs w:val="30"/>
        </w:rPr>
      </w:pPr>
      <w:r>
        <w:rPr>
          <w:rFonts w:hint="eastAsia" w:ascii="仿宋_GB2312" w:hAnsi="仿宋_GB2312" w:cs="仿宋_GB2312"/>
          <w:sz w:val="30"/>
          <w:szCs w:val="30"/>
        </w:rPr>
        <w:t>2020年收入120.39万元、支出120.58万元，与2019年相比，收入减少95.35万元、支出减少94.79万元，主要原因是：陕煤实业集团控股了木王国家森林公园后，财政上减少了对木王森林公园的项目资金投入。</w:t>
      </w:r>
    </w:p>
    <w:p>
      <w:pPr>
        <w:spacing w:line="500" w:lineRule="exact"/>
        <w:ind w:firstLine="480" w:firstLineChars="150"/>
        <w:rPr>
          <w:rFonts w:ascii="仿宋_GB2312" w:hAnsi="仿宋_GB2312" w:cs="仿宋_GB2312"/>
          <w:color w:val="FF0000"/>
          <w:sz w:val="30"/>
          <w:szCs w:val="30"/>
        </w:rPr>
      </w:pPr>
      <w:r>
        <w:rPr>
          <w:rFonts w:hint="eastAsia"/>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193675</wp:posOffset>
            </wp:positionV>
            <wp:extent cx="4982210" cy="2280285"/>
            <wp:effectExtent l="4445" t="4445" r="17145" b="13970"/>
            <wp:wrapThrough wrapText="bothSides">
              <wp:wrapPolygon>
                <wp:start x="-19" y="-42"/>
                <wp:lineTo x="-19" y="21492"/>
                <wp:lineTo x="21564" y="21492"/>
                <wp:lineTo x="21564" y="-42"/>
                <wp:lineTo x="-19" y="-42"/>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450" w:firstLineChars="150"/>
        <w:rPr>
          <w:rFonts w:ascii="仿宋_GB2312" w:hAnsi="仿宋_GB2312" w:cs="仿宋_GB2312"/>
          <w:color w:val="FF0000"/>
          <w:sz w:val="30"/>
          <w:szCs w:val="30"/>
        </w:rPr>
      </w:pP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二、收入决算情况说明</w:t>
      </w:r>
    </w:p>
    <w:p>
      <w:pPr>
        <w:spacing w:line="500" w:lineRule="exact"/>
        <w:ind w:firstLine="600" w:firstLineChars="200"/>
        <w:rPr>
          <w:rFonts w:ascii="仿宋_GB2312" w:hAnsi="仿宋_GB2312" w:cs="仿宋_GB2312"/>
          <w:sz w:val="30"/>
          <w:szCs w:val="30"/>
        </w:rPr>
      </w:pPr>
      <w:r>
        <w:rPr>
          <w:rFonts w:hint="eastAsia" w:ascii="仿宋_GB2312" w:hAnsi="仿宋_GB2312" w:cs="仿宋_GB2312"/>
          <w:sz w:val="30"/>
          <w:szCs w:val="30"/>
        </w:rPr>
        <w:t>2020年收入合计120.39万元，其中：财政拨款收入120.39万元，占总收入100%，其中（213）农林水支出120.39万元，年初财政拨款结余和结转0.19万元。</w:t>
      </w:r>
    </w:p>
    <w:p>
      <w:pPr>
        <w:pStyle w:val="4"/>
        <w:rPr>
          <w:rFonts w:ascii="仿宋_GB2312" w:hAnsi="仿宋_GB2312" w:cs="仿宋_GB2312"/>
          <w:sz w:val="30"/>
          <w:szCs w:val="30"/>
        </w:rPr>
      </w:pPr>
      <w:r>
        <w:rPr>
          <w:rFonts w:hint="eastAsia"/>
        </w:rPr>
        <w:drawing>
          <wp:inline distT="0" distB="0" distL="114300" distR="114300">
            <wp:extent cx="5025390" cy="2409190"/>
            <wp:effectExtent l="4445" t="4445" r="18415" b="571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00" w:lineRule="exact"/>
        <w:ind w:firstLine="600" w:firstLineChars="200"/>
        <w:rPr>
          <w:rFonts w:ascii="仿宋_GB2312" w:hAnsi="仿宋_GB2312" w:cs="仿宋_GB2312"/>
          <w:sz w:val="30"/>
          <w:szCs w:val="30"/>
        </w:rPr>
      </w:pP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三、支出决算情况说明</w:t>
      </w:r>
    </w:p>
    <w:p>
      <w:pPr>
        <w:spacing w:line="500" w:lineRule="exact"/>
        <w:ind w:firstLine="600" w:firstLineChars="200"/>
        <w:rPr>
          <w:rFonts w:ascii="仿宋_GB2312" w:hAnsi="仿宋_GB2312" w:cs="仿宋_GB2312"/>
          <w:sz w:val="30"/>
          <w:szCs w:val="30"/>
        </w:rPr>
      </w:pPr>
      <w:r>
        <w:rPr>
          <w:rFonts w:hint="eastAsia" w:ascii="仿宋_GB2312" w:hAnsi="仿宋_GB2312" w:cs="仿宋_GB2312"/>
          <w:sz w:val="30"/>
          <w:szCs w:val="30"/>
        </w:rPr>
        <w:t>2020年支出合计120.58万元，其中：基本支出116.41万元，农林水支出116.41万元，占总支出97%；项目支出4.17万元，占总支出3%。</w:t>
      </w:r>
    </w:p>
    <w:p>
      <w:pPr>
        <w:pStyle w:val="4"/>
        <w:rPr>
          <w:rFonts w:ascii="仿宋_GB2312" w:hAnsi="仿宋_GB2312" w:cs="仿宋_GB2312"/>
          <w:color w:val="FF0000"/>
          <w:sz w:val="30"/>
          <w:szCs w:val="30"/>
        </w:rPr>
      </w:pPr>
      <w:r>
        <w:rPr>
          <w:rFonts w:hint="eastAsia" w:ascii="仿宋_GB2312" w:hAnsi="仿宋_GB2312" w:eastAsia="仿宋_GB2312" w:cs="仿宋_GB2312"/>
          <w:color w:val="FF0000"/>
          <w:sz w:val="30"/>
          <w:szCs w:val="30"/>
        </w:rPr>
        <w:t xml:space="preserve">   </w:t>
      </w:r>
      <w:r>
        <w:rPr>
          <w:rFonts w:hint="eastAsia" w:ascii="仿宋_GB2312" w:hAnsi="仿宋_GB2312" w:eastAsia="仿宋_GB2312" w:cs="仿宋_GB2312"/>
          <w:color w:val="FF0000"/>
          <w:sz w:val="30"/>
          <w:szCs w:val="30"/>
        </w:rPr>
        <w:drawing>
          <wp:inline distT="0" distB="0" distL="114300" distR="114300">
            <wp:extent cx="4895215" cy="2072640"/>
            <wp:effectExtent l="4445" t="4445" r="1524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四、财政拨款收入支出决算总体情况说明</w:t>
      </w:r>
    </w:p>
    <w:p>
      <w:pPr>
        <w:spacing w:line="500" w:lineRule="exact"/>
        <w:ind w:firstLine="900" w:firstLineChars="300"/>
        <w:rPr>
          <w:rFonts w:ascii="仿宋_GB2312" w:hAnsi="仿宋_GB2312" w:cs="仿宋_GB2312"/>
          <w:color w:val="FF0000"/>
          <w:sz w:val="30"/>
          <w:szCs w:val="30"/>
        </w:rPr>
      </w:pPr>
      <w:r>
        <w:rPr>
          <w:rFonts w:hint="eastAsia" w:ascii="仿宋_GB2312" w:hAnsi="仿宋_GB2312" w:cs="仿宋_GB2312"/>
          <w:sz w:val="30"/>
          <w:szCs w:val="30"/>
        </w:rPr>
        <w:t>2020年财政拨款收入120.39万元、财政拨款支出120.58万元，与2019年相比，财政拨款收入减少95.35万元、财政拨款支出减少94.97万元，主要原因是：陕煤实业集团控股了木王国家森林公园后，财政上减少了对木王森林公园的项目资金投入。</w:t>
      </w: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五、一般公共预算财政拨款支出决算情况说明</w:t>
      </w:r>
    </w:p>
    <w:p>
      <w:pPr>
        <w:spacing w:line="500" w:lineRule="exact"/>
        <w:ind w:firstLine="450" w:firstLineChars="150"/>
        <w:rPr>
          <w:rFonts w:ascii="华文楷体" w:hAnsi="华文楷体" w:eastAsia="华文楷体" w:cs="楷体_GB2312"/>
          <w:bCs/>
          <w:sz w:val="30"/>
          <w:szCs w:val="30"/>
        </w:rPr>
      </w:pPr>
      <w:r>
        <w:rPr>
          <w:rFonts w:hint="eastAsia" w:ascii="华文楷体" w:hAnsi="华文楷体" w:eastAsia="华文楷体" w:cs="楷体_GB2312"/>
          <w:bCs/>
          <w:sz w:val="30"/>
          <w:szCs w:val="30"/>
        </w:rPr>
        <w:t>（一）财政拨款支出决算总体情况说明</w:t>
      </w:r>
    </w:p>
    <w:p>
      <w:pPr>
        <w:spacing w:line="500" w:lineRule="exact"/>
        <w:ind w:firstLine="600" w:firstLineChars="200"/>
        <w:rPr>
          <w:rFonts w:ascii="仿宋_GB2312" w:hAnsi="仿宋_GB2312" w:cs="仿宋_GB2312"/>
          <w:sz w:val="30"/>
          <w:szCs w:val="30"/>
        </w:rPr>
      </w:pPr>
      <w:r>
        <w:rPr>
          <w:rFonts w:hint="eastAsia" w:ascii="仿宋_GB2312" w:hAnsi="仿宋_GB2312" w:cs="仿宋_GB2312"/>
          <w:sz w:val="30"/>
          <w:szCs w:val="30"/>
        </w:rPr>
        <w:t>2020年财政拨款支出合计120.58万元，其中：基本支出116.41万元，农林水支出116.41万元，占总支出97%；项目支出4.17万元，占总支出的3%。</w:t>
      </w:r>
    </w:p>
    <w:p>
      <w:pPr>
        <w:pStyle w:val="4"/>
        <w:rPr>
          <w:rFonts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 xml:space="preserve">      </w:t>
      </w:r>
      <w:r>
        <w:rPr>
          <w:rFonts w:hint="eastAsia" w:ascii="仿宋_GB2312" w:hAnsi="仿宋_GB2312" w:eastAsia="仿宋_GB2312" w:cs="仿宋_GB2312"/>
          <w:color w:val="FF0000"/>
          <w:sz w:val="30"/>
          <w:szCs w:val="30"/>
        </w:rPr>
        <w:drawing>
          <wp:inline distT="0" distB="0" distL="114300" distR="114300">
            <wp:extent cx="4885690" cy="2190750"/>
            <wp:effectExtent l="19050" t="0" r="9908"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（二）财政拨款支出决算具体情况说明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2020年财政拨款支出年初预算为120.58万元，调整预算为120.58万元，支出决算为120.58万元，完成预算的100%。按照政府功能分类科目分，其中：</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1.一般公共服务支出（类）财政事务（款）行政运行（项）。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年初预算为120.58万元，调整预算为120.58万元，支出决算为120.58万元，完成预算的100%。主要原因是：压缩一般性支出，严格控制各项经费。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六、一般公共预算财政拨款基本支出决算情况说明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2020年一般公共预算财政拨款基本支出116.41万元，包括：人员经费支出78.19万元和公用经费支出38.22万元。</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sz w:val="30"/>
          <w:szCs w:val="30"/>
        </w:rPr>
      </w:pPr>
      <w:r>
        <w:rPr>
          <w:rFonts w:hint="eastAsia" w:ascii="仿宋_GB2312" w:hAnsi="仿宋_GB2312" w:cs="仿宋_GB2312"/>
          <w:b/>
          <w:bCs/>
          <w:sz w:val="30"/>
          <w:szCs w:val="30"/>
        </w:rPr>
        <w:t>人员经费支出</w:t>
      </w:r>
      <w:r>
        <w:rPr>
          <w:rFonts w:hint="eastAsia" w:ascii="仿宋_GB2312" w:hAnsi="仿宋_GB2312" w:cs="仿宋_GB2312"/>
          <w:sz w:val="30"/>
          <w:szCs w:val="30"/>
        </w:rPr>
        <w:t>116.41万元，主要包括基本工资31.13万元、津贴补贴18.64万元、绩效工资10.71万元、机关事业单位基本保险养老缴费8.91万元，奖金8.8万元。</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sz w:val="30"/>
          <w:szCs w:val="30"/>
        </w:rPr>
      </w:pPr>
      <w:r>
        <w:rPr>
          <w:rFonts w:hint="eastAsia" w:ascii="仿宋_GB2312" w:hAnsi="仿宋_GB2312" w:cs="仿宋_GB2312"/>
          <w:b/>
          <w:bCs/>
          <w:sz w:val="30"/>
          <w:szCs w:val="30"/>
        </w:rPr>
        <w:t>公用经费支出</w:t>
      </w:r>
      <w:r>
        <w:rPr>
          <w:rFonts w:hint="eastAsia" w:ascii="仿宋_GB2312" w:hAnsi="仿宋_GB2312" w:cs="仿宋_GB2312"/>
          <w:sz w:val="30"/>
          <w:szCs w:val="30"/>
        </w:rPr>
        <w:t>38.22万元，主要包括办公费1.34万元、电费1.67万元、邮电费1.42万元、差旅费5.63万元、维修费1.72万元、劳务费5.79万元、其他交通费用2.4万元、委托业务费15.25万元，其他商品和服务支出3万元。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七、一般公共预算财政拨款“三公”经费及会议费、培训费支出决算情况说明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（一）“三公”经费财政拨款支出决算总体情况说明。</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_GB2312" w:cs="仿宋_GB2312"/>
          <w:sz w:val="30"/>
          <w:szCs w:val="30"/>
        </w:rPr>
      </w:pPr>
      <w:r>
        <w:rPr>
          <w:rFonts w:hint="eastAsia" w:ascii="仿宋_GB2312" w:hAnsi="仿宋_GB2312" w:cs="仿宋_GB2312"/>
          <w:sz w:val="30"/>
          <w:szCs w:val="30"/>
        </w:rPr>
        <w:t>2020年“三公”经费财政拨款支出预算为0万元，支出决算为0万元，完成预算的100%。主要原因是压缩经费，节省开支。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（二）“三公”经费财政拨款支出决算具体情况说明。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三公”经费财政拨款支出决算中，因公出国（境）费支出决算0万元，占“三公”经费总支出0%；公务用车购置费支出0万元，占“三公”经费总支出0%；公务用车运行维护费支出决算0万元，占“三公”经费总支出0%；公务接待费支出决算0万元，占“三公”经费总支出0%。具体情况如下：</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b/>
          <w:bCs/>
          <w:sz w:val="30"/>
          <w:szCs w:val="30"/>
        </w:rPr>
      </w:pPr>
      <w:r>
        <w:rPr>
          <w:rFonts w:hint="eastAsia" w:ascii="仿宋_GB2312" w:hAnsi="仿宋_GB2312" w:cs="仿宋_GB2312"/>
          <w:b/>
          <w:bCs/>
          <w:sz w:val="30"/>
          <w:szCs w:val="30"/>
        </w:rPr>
        <w:t>1.因出国（境）支出情况说明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2020年因公出国（境）团组0个，0人次，预算为0万元，支出决算为0万元，完成预算的100%。主要原因是压缩经费，节省开支。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b/>
          <w:bCs/>
          <w:sz w:val="30"/>
          <w:szCs w:val="30"/>
        </w:rPr>
      </w:pPr>
      <w:r>
        <w:rPr>
          <w:rFonts w:hint="eastAsia" w:ascii="仿宋_GB2312" w:hAnsi="仿宋_GB2312" w:cs="仿宋_GB2312"/>
          <w:b/>
          <w:bCs/>
          <w:sz w:val="30"/>
          <w:szCs w:val="30"/>
        </w:rPr>
        <w:t>2.公务用车购置费用支出情况说明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2020年购置车辆0台，预算为0万元，支出决算为0万元，完成预算的100%。主要原因是压缩经费，节省开支。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b/>
          <w:bCs/>
          <w:sz w:val="30"/>
          <w:szCs w:val="30"/>
        </w:rPr>
      </w:pPr>
      <w:r>
        <w:rPr>
          <w:rFonts w:hint="eastAsia" w:ascii="仿宋_GB2312" w:hAnsi="仿宋_GB2312" w:cs="仿宋_GB2312"/>
          <w:b/>
          <w:bCs/>
          <w:sz w:val="30"/>
          <w:szCs w:val="30"/>
        </w:rPr>
        <w:t>3.公务用车运行维护费用支出情况说明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2020年公务用车运行维护费预算为0万元，支出决算为0万元，完成预算的100%。主要原因是压缩经费，节省开支。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cs="仿宋_GB2312"/>
          <w:b/>
          <w:bCs/>
          <w:sz w:val="30"/>
          <w:szCs w:val="30"/>
        </w:rPr>
      </w:pPr>
      <w:r>
        <w:rPr>
          <w:rFonts w:hint="eastAsia" w:ascii="仿宋_GB2312" w:hAnsi="仿宋_GB2312" w:cs="仿宋_GB2312"/>
          <w:b/>
          <w:bCs/>
          <w:sz w:val="30"/>
          <w:szCs w:val="30"/>
        </w:rPr>
        <w:t>4.公务接待费支出情况说明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2020年公务接待0批次，0人次，预算为0万元，支出决算为0万元，完成预算的100%。主要原因是压缩经费，节省开支。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（三）培训费支出情况说明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2020年培训费预算为0万元，支出决算为0万元，决算数较预算数增加0万元，完成预算的100%。主要原因是压缩经费，节省开支。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（四）会议费支出情况说明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2020年会议费预算为0万元，支出决算为0万元，完成预算的100%。主要原因是压缩经费，节省开支。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八、政府性基金预算财政拨款收入支出情况说明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本部门无政府性基金决算收支，并已公开空表。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九、国有资本经营财政拨款收入支出情况说明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本部门无国有资本经营决算拨款收支。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十、预算绩效情况说明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（一）预算绩效管理工作开展情况说明</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根据预算绩效管理要求，本部门组织对2020年一般公共预算项目支出全面开展绩效自评，其中，一级项目1个，共涉及资金4.17万元，占一般公共预算项目支出总额的3%。（本年度无政府性基金预算项目）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（二）部门决算中项目绩效自评结果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cs="仿宋_GB2312"/>
          <w:sz w:val="30"/>
          <w:szCs w:val="30"/>
        </w:rPr>
      </w:pPr>
      <w:r>
        <w:rPr>
          <w:rFonts w:hint="eastAsia" w:ascii="仿宋_GB2312" w:hAnsi="仿宋_GB2312" w:cs="仿宋_GB2312"/>
          <w:sz w:val="30"/>
          <w:szCs w:val="30"/>
        </w:rPr>
        <w:t>本部门2020</w:t>
      </w:r>
      <w:r>
        <w:rPr>
          <w:rFonts w:ascii="仿宋_GB2312" w:hAnsi="仿宋_GB2312" w:cs="仿宋_GB2312"/>
          <w:sz w:val="30"/>
          <w:szCs w:val="30"/>
        </w:rPr>
        <w:t>年度</w:t>
      </w:r>
      <w:r>
        <w:rPr>
          <w:rFonts w:hint="eastAsia" w:ascii="仿宋_GB2312" w:hAnsi="仿宋_GB2312" w:cs="仿宋_GB2312"/>
          <w:sz w:val="30"/>
          <w:szCs w:val="30"/>
        </w:rPr>
        <w:t>决算中反映的包含办公经费一个项目</w:t>
      </w:r>
      <w:r>
        <w:rPr>
          <w:rFonts w:ascii="仿宋_GB2312" w:hAnsi="仿宋_GB2312" w:cs="仿宋_GB2312"/>
          <w:sz w:val="30"/>
          <w:szCs w:val="30"/>
        </w:rPr>
        <w:t>绩效自评</w:t>
      </w:r>
      <w:r>
        <w:rPr>
          <w:rFonts w:hint="eastAsia" w:ascii="仿宋_GB2312" w:hAnsi="仿宋_GB2312" w:cs="仿宋_GB2312"/>
          <w:sz w:val="30"/>
          <w:szCs w:val="30"/>
        </w:rPr>
        <w:t>结果。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办公经费</w:t>
      </w:r>
      <w:r>
        <w:rPr>
          <w:rFonts w:ascii="仿宋_GB2312" w:hAnsi="仿宋_GB2312" w:cs="仿宋_GB2312"/>
          <w:sz w:val="30"/>
          <w:szCs w:val="30"/>
        </w:rPr>
        <w:t>绩效自评</w:t>
      </w:r>
      <w:r>
        <w:rPr>
          <w:rFonts w:hint="eastAsia" w:ascii="仿宋_GB2312" w:hAnsi="仿宋_GB2312" w:cs="仿宋_GB2312"/>
          <w:sz w:val="30"/>
          <w:szCs w:val="30"/>
        </w:rPr>
        <w:t>综述：根据年初设定的绩效目标，绩效自评得分100分，项目全年预算数10万元，执行数10万元，完成预算的100%。主要产出和效果：购买木王森林公园办公用具，加强旅游管理与服务水平。</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hAnsi="仿宋_GB2312" w:cs="仿宋_GB2312"/>
          <w:sz w:val="30"/>
          <w:szCs w:val="30"/>
        </w:rPr>
      </w:pPr>
    </w:p>
    <w:p>
      <w:pPr>
        <w:spacing w:line="460" w:lineRule="exact"/>
        <w:jc w:val="center"/>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ind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县级预算（项目）绩效目标自评表（一）</w:t>
      </w:r>
    </w:p>
    <w:p>
      <w:pPr>
        <w:spacing w:line="560" w:lineRule="exact"/>
        <w:ind w:firstLine="3300" w:firstLineChars="1100"/>
        <w:rPr>
          <w:rFonts w:ascii="华文楷体" w:hAnsi="华文楷体" w:eastAsia="华文楷体" w:cs="宋体"/>
          <w:sz w:val="30"/>
          <w:szCs w:val="30"/>
        </w:rPr>
      </w:pPr>
      <w:r>
        <w:rPr>
          <w:rFonts w:hint="eastAsia" w:ascii="华文楷体" w:hAnsi="华文楷体" w:eastAsia="华文楷体" w:cs="宋体"/>
          <w:sz w:val="30"/>
          <w:szCs w:val="30"/>
        </w:rPr>
        <w:t>（2020年度）</w:t>
      </w:r>
    </w:p>
    <w:tbl>
      <w:tblPr>
        <w:tblStyle w:val="10"/>
        <w:tblW w:w="910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66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专项（项目）名称</w:t>
            </w:r>
          </w:p>
        </w:tc>
        <w:tc>
          <w:tcPr>
            <w:tcW w:w="7368" w:type="dxa"/>
            <w:gridSpan w:val="8"/>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办公经费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县级主管部门</w:t>
            </w:r>
          </w:p>
        </w:tc>
        <w:tc>
          <w:tcPr>
            <w:tcW w:w="3369"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18"/>
                <w:szCs w:val="18"/>
              </w:rPr>
            </w:pPr>
            <w:r>
              <w:rPr>
                <w:rFonts w:hint="eastAsia" w:ascii="宋体" w:hAnsi="宋体" w:cs="宋体"/>
                <w:sz w:val="18"/>
                <w:szCs w:val="18"/>
              </w:rPr>
              <w:t>镇安县文化与旅游局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18"/>
                <w:szCs w:val="18"/>
              </w:rPr>
            </w:pPr>
            <w:r>
              <w:rPr>
                <w:rFonts w:hint="eastAsia" w:ascii="宋体" w:hAnsi="宋体" w:cs="宋体"/>
                <w:sz w:val="18"/>
                <w:szCs w:val="18"/>
              </w:rPr>
              <w:t>实施单位</w:t>
            </w:r>
          </w:p>
        </w:tc>
        <w:tc>
          <w:tcPr>
            <w:tcW w:w="276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镇安县木王国家森林公园管委会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项目资金（万元）</w:t>
            </w: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18"/>
                <w:szCs w:val="18"/>
              </w:rPr>
            </w:pPr>
            <w:r>
              <w:rPr>
                <w:rFonts w:hint="eastAsia" w:ascii="宋体" w:hAnsi="宋体" w:cs="宋体"/>
                <w:sz w:val="18"/>
                <w:szCs w:val="18"/>
              </w:rPr>
              <w:t>全年预算数（A）</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全年执行数（B）</w:t>
            </w:r>
          </w:p>
        </w:tc>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年度资金总额：</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4.17</w:t>
            </w: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4.17</w:t>
            </w: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其中：省级财政资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市县财政资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4.17</w:t>
            </w: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4.17</w:t>
            </w: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其他资金</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sz w:val="18"/>
                <w:szCs w:val="18"/>
              </w:rPr>
              <w:t>年初设定目标</w:t>
            </w:r>
          </w:p>
        </w:tc>
        <w:tc>
          <w:tcPr>
            <w:tcW w:w="399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4392"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18"/>
                <w:szCs w:val="18"/>
              </w:rPr>
            </w:pPr>
            <w:r>
              <w:rPr>
                <w:rFonts w:hint="eastAsia" w:ascii="宋体" w:hAnsi="宋体" w:cs="宋体"/>
                <w:sz w:val="18"/>
                <w:szCs w:val="18"/>
              </w:rPr>
              <w:t xml:space="preserve"> 目标一：木王森林公园办公用具4.17万元</w:t>
            </w:r>
          </w:p>
          <w:p>
            <w:pPr>
              <w:spacing w:line="320" w:lineRule="exact"/>
              <w:rPr>
                <w:rFonts w:ascii="宋体" w:hAnsi="宋体" w:cs="宋体"/>
                <w:sz w:val="18"/>
                <w:szCs w:val="18"/>
              </w:rPr>
            </w:pPr>
            <w:r>
              <w:rPr>
                <w:rFonts w:hint="eastAsia" w:ascii="宋体" w:hAnsi="宋体" w:cs="宋体"/>
                <w:sz w:val="18"/>
                <w:szCs w:val="18"/>
              </w:rPr>
              <w:t>目标二：加强旅游管理与服务水平。</w:t>
            </w:r>
          </w:p>
          <w:p>
            <w:pPr>
              <w:spacing w:line="320" w:lineRule="exact"/>
              <w:rPr>
                <w:rFonts w:ascii="宋体" w:hAnsi="宋体" w:cs="宋体"/>
                <w:sz w:val="18"/>
                <w:szCs w:val="18"/>
              </w:rPr>
            </w:pPr>
          </w:p>
        </w:tc>
        <w:tc>
          <w:tcPr>
            <w:tcW w:w="3999"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18"/>
                <w:szCs w:val="18"/>
              </w:rPr>
            </w:pPr>
            <w:r>
              <w:rPr>
                <w:rFonts w:hint="eastAsia" w:ascii="宋体" w:hAnsi="宋体" w:cs="宋体"/>
                <w:sz w:val="18"/>
                <w:szCs w:val="18"/>
              </w:rPr>
              <w:t>目标一：木王森林公园办公用具4.17万元</w:t>
            </w:r>
          </w:p>
          <w:p>
            <w:pPr>
              <w:spacing w:line="320" w:lineRule="exact"/>
              <w:rPr>
                <w:rFonts w:ascii="宋体" w:hAnsi="宋体" w:cs="宋体"/>
                <w:sz w:val="18"/>
                <w:szCs w:val="18"/>
              </w:rPr>
            </w:pPr>
            <w:r>
              <w:rPr>
                <w:rFonts w:hint="eastAsia" w:ascii="宋体" w:hAnsi="宋体" w:cs="宋体"/>
                <w:sz w:val="18"/>
                <w:szCs w:val="18"/>
              </w:rPr>
              <w:t>目标二：加强旅游管理与服务水平。</w:t>
            </w:r>
          </w:p>
          <w:p>
            <w:pPr>
              <w:spacing w:line="320" w:lineRule="exact"/>
              <w:ind w:firstLine="180" w:firstLineChars="10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绩</w:t>
            </w:r>
          </w:p>
          <w:p>
            <w:pPr>
              <w:spacing w:line="360" w:lineRule="exact"/>
              <w:rPr>
                <w:rFonts w:ascii="宋体" w:hAnsi="宋体" w:cs="宋体"/>
                <w:sz w:val="18"/>
                <w:szCs w:val="18"/>
              </w:rPr>
            </w:pPr>
            <w:r>
              <w:rPr>
                <w:rFonts w:hint="eastAsia" w:ascii="宋体" w:hAnsi="宋体" w:cs="宋体"/>
                <w:sz w:val="18"/>
                <w:szCs w:val="18"/>
              </w:rPr>
              <w:t>效</w:t>
            </w:r>
          </w:p>
          <w:p>
            <w:pPr>
              <w:spacing w:line="360" w:lineRule="exact"/>
              <w:rPr>
                <w:rFonts w:ascii="宋体" w:hAnsi="宋体" w:cs="宋体"/>
                <w:sz w:val="18"/>
                <w:szCs w:val="18"/>
              </w:rPr>
            </w:pPr>
            <w:r>
              <w:rPr>
                <w:rFonts w:hint="eastAsia" w:ascii="宋体" w:hAnsi="宋体" w:cs="宋体"/>
                <w:sz w:val="18"/>
                <w:szCs w:val="18"/>
              </w:rPr>
              <w:t>指</w:t>
            </w:r>
          </w:p>
          <w:p>
            <w:pPr>
              <w:spacing w:line="360" w:lineRule="exact"/>
              <w:rPr>
                <w:rFonts w:ascii="宋体" w:hAnsi="宋体" w:cs="宋体"/>
                <w:sz w:val="18"/>
                <w:szCs w:val="18"/>
              </w:rPr>
            </w:pPr>
            <w:r>
              <w:rPr>
                <w:rFonts w:hint="eastAsia" w:ascii="宋体" w:hAnsi="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一级</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二级指标</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三级指标</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年度指标值</w:t>
            </w:r>
          </w:p>
        </w:tc>
        <w:tc>
          <w:tcPr>
            <w:tcW w:w="14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全年完成值</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产出</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数量指标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添置办公设备</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4.17万元</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4.17万元</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加强旅游管理与服务水平</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提高</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提高    </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质量指标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加大木王公园宣传力度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99%</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99%</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效益</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社会效益</w:t>
            </w:r>
          </w:p>
          <w:p>
            <w:pPr>
              <w:spacing w:line="360" w:lineRule="exact"/>
              <w:rPr>
                <w:rFonts w:ascii="宋体" w:hAnsi="宋体" w:cs="宋体"/>
                <w:sz w:val="18"/>
                <w:szCs w:val="18"/>
              </w:rPr>
            </w:pPr>
            <w:r>
              <w:rPr>
                <w:rFonts w:hint="eastAsia" w:ascii="宋体" w:hAnsi="宋体" w:cs="宋体"/>
                <w:sz w:val="18"/>
                <w:szCs w:val="18"/>
              </w:rPr>
              <w:t>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提高木王公园知名度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加大木王公园服务满意度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带动建档立卡贫困户脱贫数</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≥156户</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≥156户</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服务对象满意度指标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18"/>
                <w:szCs w:val="18"/>
              </w:rPr>
            </w:pPr>
            <w:r>
              <w:rPr>
                <w:rFonts w:hint="eastAsia" w:ascii="宋体" w:hAnsi="宋体" w:cs="宋体"/>
                <w:sz w:val="18"/>
                <w:szCs w:val="18"/>
              </w:rPr>
              <w:t>游客和群众满意度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ind w:firstLine="360" w:firstLineChars="200"/>
              <w:jc w:val="center"/>
              <w:rPr>
                <w:rFonts w:ascii="宋体" w:hAnsi="宋体" w:cs="宋体"/>
                <w:sz w:val="18"/>
                <w:szCs w:val="18"/>
              </w:rPr>
            </w:pPr>
            <w:r>
              <w:rPr>
                <w:rFonts w:hint="eastAsia" w:ascii="宋体" w:hAnsi="宋体" w:cs="宋体"/>
                <w:sz w:val="18"/>
                <w:szCs w:val="18"/>
              </w:rPr>
              <w:t>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18"/>
                <w:szCs w:val="18"/>
              </w:rPr>
            </w:pPr>
            <w:r>
              <w:rPr>
                <w:rFonts w:hint="eastAsia" w:ascii="宋体" w:hAnsi="宋体" w:cs="宋体"/>
                <w:sz w:val="18"/>
                <w:szCs w:val="18"/>
              </w:rPr>
              <w:t>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说明</w:t>
            </w:r>
          </w:p>
        </w:tc>
        <w:tc>
          <w:tcPr>
            <w:tcW w:w="839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00" w:lineRule="exact"/>
        <w:rPr>
          <w:rFonts w:ascii="宋体" w:hAnsi="宋体" w:cs="宋体"/>
          <w:sz w:val="18"/>
          <w:szCs w:val="18"/>
        </w:rPr>
      </w:pPr>
    </w:p>
    <w:p>
      <w:pPr>
        <w:rPr>
          <w:rFonts w:ascii="宋体" w:hAnsi="宋体" w:cs="宋体"/>
          <w:sz w:val="18"/>
          <w:szCs w:val="18"/>
        </w:rPr>
      </w:pPr>
    </w:p>
    <w:p>
      <w:pPr>
        <w:spacing w:line="460" w:lineRule="exact"/>
        <w:ind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县级预算（项目）绩效目标自评表（二）</w:t>
      </w:r>
    </w:p>
    <w:p>
      <w:pPr>
        <w:spacing w:line="560" w:lineRule="exact"/>
        <w:ind w:firstLine="3300" w:firstLineChars="1100"/>
        <w:rPr>
          <w:rFonts w:ascii="华文楷体" w:hAnsi="华文楷体" w:eastAsia="华文楷体" w:cs="宋体"/>
          <w:sz w:val="30"/>
          <w:szCs w:val="30"/>
        </w:rPr>
      </w:pPr>
      <w:r>
        <w:rPr>
          <w:rFonts w:hint="eastAsia" w:ascii="华文楷体" w:hAnsi="华文楷体" w:eastAsia="华文楷体" w:cs="宋体"/>
          <w:sz w:val="30"/>
          <w:szCs w:val="30"/>
        </w:rPr>
        <w:t>（2020年度）</w:t>
      </w:r>
    </w:p>
    <w:tbl>
      <w:tblPr>
        <w:tblStyle w:val="10"/>
        <w:tblW w:w="910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66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专项（项目）名称</w:t>
            </w:r>
          </w:p>
        </w:tc>
        <w:tc>
          <w:tcPr>
            <w:tcW w:w="7368" w:type="dxa"/>
            <w:gridSpan w:val="8"/>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办公经费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县级主管部门</w:t>
            </w:r>
          </w:p>
        </w:tc>
        <w:tc>
          <w:tcPr>
            <w:tcW w:w="3369"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18"/>
                <w:szCs w:val="18"/>
              </w:rPr>
            </w:pPr>
            <w:r>
              <w:rPr>
                <w:rFonts w:hint="eastAsia" w:ascii="宋体" w:hAnsi="宋体" w:cs="宋体"/>
                <w:sz w:val="18"/>
                <w:szCs w:val="18"/>
              </w:rPr>
              <w:t>镇安县文化与旅游局</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18"/>
                <w:szCs w:val="18"/>
              </w:rPr>
            </w:pPr>
            <w:r>
              <w:rPr>
                <w:rFonts w:hint="eastAsia" w:ascii="宋体" w:hAnsi="宋体" w:cs="宋体"/>
                <w:sz w:val="18"/>
                <w:szCs w:val="18"/>
              </w:rPr>
              <w:t>实施单位</w:t>
            </w:r>
          </w:p>
        </w:tc>
        <w:tc>
          <w:tcPr>
            <w:tcW w:w="276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镇安县木王国家森林公园管委会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项目资金（万元）</w:t>
            </w: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18"/>
                <w:szCs w:val="18"/>
              </w:rPr>
            </w:pPr>
            <w:r>
              <w:rPr>
                <w:rFonts w:hint="eastAsia" w:ascii="宋体" w:hAnsi="宋体" w:cs="宋体"/>
                <w:sz w:val="18"/>
                <w:szCs w:val="18"/>
              </w:rPr>
              <w:t>全年预算数（A）</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全年执行数（B）</w:t>
            </w:r>
          </w:p>
        </w:tc>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年度资金总额：</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5.83</w:t>
            </w: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5.83</w:t>
            </w: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其中：省级财政资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市县财政资</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5.83</w:t>
            </w: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5.83</w:t>
            </w: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3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r>
              <w:rPr>
                <w:rFonts w:hint="eastAsia" w:ascii="宋体" w:hAnsi="宋体" w:cs="宋体"/>
                <w:sz w:val="18"/>
                <w:szCs w:val="18"/>
              </w:rPr>
              <w:t>其他资金</w:t>
            </w:r>
          </w:p>
        </w:tc>
        <w:tc>
          <w:tcPr>
            <w:tcW w:w="143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2191"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c>
          <w:tcPr>
            <w:tcW w:w="1808"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sz w:val="18"/>
                <w:szCs w:val="18"/>
              </w:rPr>
              <w:t>年初设定目标</w:t>
            </w:r>
          </w:p>
        </w:tc>
        <w:tc>
          <w:tcPr>
            <w:tcW w:w="399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4392"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18"/>
                <w:szCs w:val="18"/>
              </w:rPr>
            </w:pPr>
            <w:r>
              <w:rPr>
                <w:rFonts w:hint="eastAsia" w:ascii="宋体" w:hAnsi="宋体" w:cs="宋体"/>
                <w:sz w:val="18"/>
                <w:szCs w:val="18"/>
              </w:rPr>
              <w:t xml:space="preserve"> 目标一：对云盖寺景区办公开支补助；</w:t>
            </w:r>
          </w:p>
          <w:p>
            <w:pPr>
              <w:spacing w:line="320" w:lineRule="exact"/>
              <w:rPr>
                <w:rFonts w:ascii="宋体" w:hAnsi="宋体" w:cs="宋体"/>
                <w:sz w:val="18"/>
                <w:szCs w:val="18"/>
              </w:rPr>
            </w:pPr>
            <w:r>
              <w:rPr>
                <w:rFonts w:hint="eastAsia" w:ascii="宋体" w:hAnsi="宋体" w:cs="宋体"/>
                <w:sz w:val="18"/>
                <w:szCs w:val="18"/>
              </w:rPr>
              <w:t>目标二：加强云盖寺景区旅游管理与服务水平。</w:t>
            </w:r>
          </w:p>
          <w:p>
            <w:pPr>
              <w:spacing w:line="320" w:lineRule="exact"/>
              <w:rPr>
                <w:rFonts w:ascii="宋体" w:hAnsi="宋体" w:cs="宋体"/>
                <w:sz w:val="18"/>
                <w:szCs w:val="18"/>
              </w:rPr>
            </w:pPr>
          </w:p>
        </w:tc>
        <w:tc>
          <w:tcPr>
            <w:tcW w:w="3999"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18"/>
                <w:szCs w:val="18"/>
              </w:rPr>
            </w:pPr>
            <w:r>
              <w:rPr>
                <w:rFonts w:hint="eastAsia" w:ascii="宋体" w:hAnsi="宋体" w:cs="宋体"/>
                <w:sz w:val="18"/>
                <w:szCs w:val="18"/>
              </w:rPr>
              <w:t>目标一：对云盖寺景区办公开支补助；</w:t>
            </w:r>
          </w:p>
          <w:p>
            <w:pPr>
              <w:spacing w:line="320" w:lineRule="exact"/>
              <w:rPr>
                <w:rFonts w:ascii="宋体" w:hAnsi="宋体" w:cs="宋体"/>
                <w:sz w:val="18"/>
                <w:szCs w:val="18"/>
              </w:rPr>
            </w:pPr>
            <w:r>
              <w:rPr>
                <w:rFonts w:hint="eastAsia" w:ascii="宋体" w:hAnsi="宋体" w:cs="宋体"/>
                <w:sz w:val="18"/>
                <w:szCs w:val="18"/>
              </w:rPr>
              <w:t>目标二：加强云盖寺景区旅游管理与服务水平。</w:t>
            </w:r>
          </w:p>
          <w:p>
            <w:pPr>
              <w:spacing w:line="320" w:lineRule="exact"/>
              <w:ind w:firstLine="180" w:firstLineChars="10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绩</w:t>
            </w:r>
          </w:p>
          <w:p>
            <w:pPr>
              <w:spacing w:line="360" w:lineRule="exact"/>
              <w:rPr>
                <w:rFonts w:ascii="宋体" w:hAnsi="宋体" w:cs="宋体"/>
                <w:sz w:val="18"/>
                <w:szCs w:val="18"/>
              </w:rPr>
            </w:pPr>
            <w:r>
              <w:rPr>
                <w:rFonts w:hint="eastAsia" w:ascii="宋体" w:hAnsi="宋体" w:cs="宋体"/>
                <w:sz w:val="18"/>
                <w:szCs w:val="18"/>
              </w:rPr>
              <w:t>效</w:t>
            </w:r>
          </w:p>
          <w:p>
            <w:pPr>
              <w:spacing w:line="360" w:lineRule="exact"/>
              <w:rPr>
                <w:rFonts w:ascii="宋体" w:hAnsi="宋体" w:cs="宋体"/>
                <w:sz w:val="18"/>
                <w:szCs w:val="18"/>
              </w:rPr>
            </w:pPr>
            <w:r>
              <w:rPr>
                <w:rFonts w:hint="eastAsia" w:ascii="宋体" w:hAnsi="宋体" w:cs="宋体"/>
                <w:sz w:val="18"/>
                <w:szCs w:val="18"/>
              </w:rPr>
              <w:t>指</w:t>
            </w:r>
          </w:p>
          <w:p>
            <w:pPr>
              <w:spacing w:line="360" w:lineRule="exact"/>
              <w:rPr>
                <w:rFonts w:ascii="宋体" w:hAnsi="宋体" w:cs="宋体"/>
                <w:sz w:val="18"/>
                <w:szCs w:val="18"/>
              </w:rPr>
            </w:pPr>
            <w:r>
              <w:rPr>
                <w:rFonts w:hint="eastAsia" w:ascii="宋体" w:hAnsi="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一级</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二级指标</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三级指标</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年度指标值</w:t>
            </w:r>
          </w:p>
        </w:tc>
        <w:tc>
          <w:tcPr>
            <w:tcW w:w="14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全年完成值</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产出</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数量指标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云盖寺景区聘用人员工资</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4.48万元</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4.48万元</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其他公用经费开支</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1.35万元</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1.35万元    </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质量指标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加大云盖寺景区宣传力度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99%</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99%</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效益</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社会效益</w:t>
            </w:r>
          </w:p>
          <w:p>
            <w:pPr>
              <w:spacing w:line="360" w:lineRule="exact"/>
              <w:rPr>
                <w:rFonts w:ascii="宋体" w:hAnsi="宋体" w:cs="宋体"/>
                <w:sz w:val="18"/>
                <w:szCs w:val="18"/>
              </w:rPr>
            </w:pPr>
            <w:r>
              <w:rPr>
                <w:rFonts w:hint="eastAsia" w:ascii="宋体" w:hAnsi="宋体" w:cs="宋体"/>
                <w:sz w:val="18"/>
                <w:szCs w:val="18"/>
              </w:rPr>
              <w:t>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提高云盖寺景区知名度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加大云盖寺景区服务满意度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r>
              <w:rPr>
                <w:rFonts w:hint="eastAsia" w:ascii="宋体" w:hAnsi="宋体" w:cs="宋体"/>
                <w:sz w:val="18"/>
                <w:szCs w:val="18"/>
              </w:rPr>
              <w:t xml:space="preserve"> 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18"/>
                <w:szCs w:val="18"/>
              </w:rPr>
            </w:pPr>
            <w:r>
              <w:rPr>
                <w:rFonts w:hint="eastAsia" w:ascii="宋体" w:hAnsi="宋体" w:cs="宋体"/>
                <w:sz w:val="18"/>
                <w:szCs w:val="18"/>
              </w:rPr>
              <w:t>服务对象满意度指标</w:t>
            </w:r>
          </w:p>
        </w:tc>
        <w:tc>
          <w:tcPr>
            <w:tcW w:w="2544"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18"/>
                <w:szCs w:val="18"/>
              </w:rPr>
            </w:pPr>
            <w:r>
              <w:rPr>
                <w:rFonts w:hint="eastAsia" w:ascii="宋体" w:hAnsi="宋体" w:cs="宋体"/>
                <w:sz w:val="18"/>
                <w:szCs w:val="18"/>
              </w:rPr>
              <w:t>游客和群众满意度</w:t>
            </w:r>
          </w:p>
        </w:tc>
        <w:tc>
          <w:tcPr>
            <w:tcW w:w="1414" w:type="dxa"/>
            <w:gridSpan w:val="2"/>
            <w:tcBorders>
              <w:top w:val="single" w:color="auto" w:sz="4" w:space="0"/>
              <w:left w:val="single" w:color="auto" w:sz="4" w:space="0"/>
              <w:bottom w:val="single" w:color="auto" w:sz="4" w:space="0"/>
              <w:right w:val="single" w:color="auto" w:sz="4" w:space="0"/>
            </w:tcBorders>
          </w:tcPr>
          <w:p>
            <w:pPr>
              <w:spacing w:line="360" w:lineRule="exact"/>
              <w:ind w:firstLine="360" w:firstLineChars="200"/>
              <w:jc w:val="center"/>
              <w:rPr>
                <w:rFonts w:ascii="宋体" w:hAnsi="宋体" w:cs="宋体"/>
                <w:sz w:val="18"/>
                <w:szCs w:val="18"/>
              </w:rPr>
            </w:pPr>
            <w:r>
              <w:rPr>
                <w:rFonts w:hint="eastAsia" w:ascii="宋体" w:hAnsi="宋体" w:cs="宋体"/>
                <w:sz w:val="18"/>
                <w:szCs w:val="18"/>
              </w:rPr>
              <w:t>90%</w:t>
            </w:r>
          </w:p>
        </w:tc>
        <w:tc>
          <w:tcPr>
            <w:tcW w:w="1443"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18"/>
                <w:szCs w:val="18"/>
              </w:rPr>
            </w:pPr>
            <w:r>
              <w:rPr>
                <w:rFonts w:hint="eastAsia" w:ascii="宋体" w:hAnsi="宋体" w:cs="宋体"/>
                <w:sz w:val="18"/>
                <w:szCs w:val="18"/>
              </w:rPr>
              <w:t>90%</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说明</w:t>
            </w:r>
          </w:p>
        </w:tc>
        <w:tc>
          <w:tcPr>
            <w:tcW w:w="839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tabs>
          <w:tab w:val="left" w:pos="448"/>
        </w:tabs>
        <w:rPr>
          <w:rFonts w:ascii="宋体" w:hAnsi="宋体" w:cs="宋体"/>
          <w:sz w:val="18"/>
          <w:szCs w:val="18"/>
        </w:rPr>
      </w:pPr>
    </w:p>
    <w:p>
      <w:pPr>
        <w:rPr>
          <w:rFonts w:ascii="宋体" w:hAnsi="宋体" w:cs="宋体"/>
          <w:sz w:val="18"/>
          <w:szCs w:val="18"/>
        </w:rPr>
      </w:pPr>
    </w:p>
    <w:p>
      <w:pPr>
        <w:rPr>
          <w:rFonts w:ascii="宋体" w:hAnsi="宋体" w:cs="宋体"/>
          <w:sz w:val="18"/>
          <w:szCs w:val="18"/>
        </w:rPr>
        <w:sectPr>
          <w:headerReference r:id="rId3" w:type="default"/>
          <w:pgSz w:w="11906" w:h="16838"/>
          <w:pgMar w:top="1417" w:right="1474" w:bottom="1417" w:left="1587" w:header="851" w:footer="1531" w:gutter="0"/>
          <w:cols w:space="720" w:num="1"/>
          <w:docGrid w:type="lines" w:linePitch="435" w:charSpace="0"/>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华文楷体" w:hAnsi="华文楷体" w:eastAsia="华文楷体" w:cs="宋体"/>
          <w:sz w:val="30"/>
          <w:szCs w:val="30"/>
        </w:rPr>
      </w:pPr>
      <w:r>
        <w:rPr>
          <w:rFonts w:hint="eastAsia" w:ascii="华文楷体" w:hAnsi="华文楷体" w:eastAsia="华文楷体" w:cs="宋体"/>
          <w:sz w:val="30"/>
          <w:szCs w:val="30"/>
        </w:rPr>
        <w:t>（2020年度）</w:t>
      </w:r>
    </w:p>
    <w:p>
      <w:pPr>
        <w:spacing w:line="300" w:lineRule="exact"/>
        <w:rPr>
          <w:rFonts w:ascii="宋体" w:hAnsi="宋体" w:cs="宋体"/>
          <w:sz w:val="18"/>
          <w:szCs w:val="18"/>
        </w:rPr>
      </w:pPr>
      <w:r>
        <w:rPr>
          <w:rFonts w:hint="eastAsia" w:ascii="宋体" w:hAnsi="宋体" w:cs="宋体"/>
          <w:sz w:val="18"/>
          <w:szCs w:val="18"/>
        </w:rPr>
        <w:t>填报单位：镇安县木王国家森林公园管委会                                                                                        自评得分：100</w:t>
      </w:r>
    </w:p>
    <w:tbl>
      <w:tblPr>
        <w:tblStyle w:val="10"/>
        <w:tblW w:w="1405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2866"/>
        <w:gridCol w:w="992"/>
        <w:gridCol w:w="614"/>
        <w:gridCol w:w="774"/>
        <w:gridCol w:w="597"/>
        <w:gridCol w:w="130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793" w:type="dxa"/>
            <w:gridSpan w:val="5"/>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（一）简要概述部门职能与职责</w:t>
            </w:r>
          </w:p>
        </w:tc>
        <w:tc>
          <w:tcPr>
            <w:tcW w:w="8259" w:type="dxa"/>
            <w:gridSpan w:val="7"/>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负责木王国家森林公园（木王山景区）的发展规划，开发建设、宣传营销和日常运营管理等工作，负责管委会机关安全、工程安全及计划生育、扶贫包村，信访维稳、安全生产、防汛防火、环境卫生、资源管护、党风廉政建设、干部作风建设、精神文明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793" w:type="dxa"/>
            <w:gridSpan w:val="5"/>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（二）简要概述部门支出情况，按活动内容分类</w:t>
            </w:r>
          </w:p>
        </w:tc>
        <w:tc>
          <w:tcPr>
            <w:tcW w:w="8259" w:type="dxa"/>
            <w:gridSpan w:val="7"/>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2020年支出合计120.58万元，其中：基本支出116.41万元，项目支出4.17万元。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3" w:type="dxa"/>
            <w:gridSpan w:val="5"/>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（三）简要概述当年县委县政府下达的重点工作</w:t>
            </w:r>
          </w:p>
        </w:tc>
        <w:tc>
          <w:tcPr>
            <w:tcW w:w="8259" w:type="dxa"/>
            <w:gridSpan w:val="7"/>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 w:val="16"/>
                <w:szCs w:val="16"/>
              </w:rPr>
            </w:pPr>
            <w:r>
              <w:rPr>
                <w:rFonts w:hint="eastAsia" w:ascii="宋体" w:hAnsi="宋体" w:cs="宋体"/>
                <w:sz w:val="16"/>
                <w:szCs w:val="16"/>
              </w:rPr>
              <w:t>加强旅游管理，加大宣传力度，保护景区资源，确保景区正常运转。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一级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二级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三级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分</w:t>
            </w:r>
          </w:p>
          <w:p>
            <w:pPr>
              <w:spacing w:line="240" w:lineRule="exact"/>
              <w:jc w:val="center"/>
              <w:rPr>
                <w:rFonts w:ascii="宋体" w:hAnsi="宋体" w:cs="宋体"/>
                <w:bCs/>
                <w:sz w:val="16"/>
                <w:szCs w:val="16"/>
              </w:rPr>
            </w:pPr>
            <w:r>
              <w:rPr>
                <w:rFonts w:hint="eastAsia" w:ascii="宋体" w:hAnsi="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指标说明</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年初目标值</w:t>
            </w: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实际完成值</w:t>
            </w:r>
          </w:p>
        </w:tc>
        <w:tc>
          <w:tcPr>
            <w:tcW w:w="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得分</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16"/>
                <w:szCs w:val="16"/>
              </w:rPr>
            </w:pPr>
            <w:r>
              <w:rPr>
                <w:rFonts w:hint="eastAsia" w:ascii="宋体" w:hAnsi="宋体" w:cs="宋体"/>
                <w:sz w:val="16"/>
                <w:szCs w:val="16"/>
              </w:rPr>
              <w:t>预算完成率=（预算完成数/预算数）×100%，用以反映和考核部门（单位）预算完成程度。</w:t>
            </w:r>
          </w:p>
          <w:p>
            <w:pPr>
              <w:spacing w:line="240" w:lineRule="exact"/>
              <w:rPr>
                <w:rFonts w:ascii="宋体" w:hAnsi="宋体" w:cs="宋体"/>
                <w:sz w:val="16"/>
                <w:szCs w:val="16"/>
              </w:rPr>
            </w:pPr>
            <w:r>
              <w:rPr>
                <w:rFonts w:hint="eastAsia" w:ascii="宋体" w:hAnsi="宋体" w:cs="宋体"/>
                <w:sz w:val="16"/>
                <w:szCs w:val="16"/>
              </w:rPr>
              <w:t>预算完成数：部门（单位）本年度</w:t>
            </w:r>
          </w:p>
          <w:p>
            <w:pPr>
              <w:spacing w:line="240" w:lineRule="exact"/>
              <w:rPr>
                <w:rFonts w:ascii="宋体" w:hAnsi="宋体" w:cs="宋体"/>
                <w:sz w:val="16"/>
                <w:szCs w:val="16"/>
              </w:rPr>
            </w:pPr>
            <w:r>
              <w:rPr>
                <w:rFonts w:hint="eastAsia" w:ascii="宋体" w:hAnsi="宋体" w:cs="宋体"/>
                <w:sz w:val="16"/>
                <w:szCs w:val="16"/>
              </w:rPr>
              <w:t>预算数：财政部门批复的本年度部门（单位）预算数。</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16"/>
                <w:szCs w:val="16"/>
              </w:rPr>
            </w:pPr>
            <w:r>
              <w:rPr>
                <w:rFonts w:hint="eastAsia" w:ascii="宋体" w:hAnsi="宋体" w:cs="宋体"/>
                <w:sz w:val="16"/>
                <w:szCs w:val="16"/>
              </w:rPr>
              <w:t>预算完成率=100%，得10分。</w:t>
            </w:r>
          </w:p>
          <w:p>
            <w:pPr>
              <w:spacing w:line="240" w:lineRule="exact"/>
              <w:rPr>
                <w:rFonts w:ascii="宋体" w:hAnsi="宋体" w:cs="宋体"/>
                <w:sz w:val="16"/>
                <w:szCs w:val="16"/>
              </w:rPr>
            </w:pPr>
            <w:r>
              <w:rPr>
                <w:rFonts w:hint="eastAsia" w:ascii="宋体" w:hAnsi="宋体" w:cs="宋体"/>
                <w:sz w:val="16"/>
                <w:szCs w:val="16"/>
              </w:rPr>
              <w:t>预算完成率</w:t>
            </w:r>
            <w:r>
              <w:rPr>
                <w:rFonts w:hint="eastAsia" w:ascii="宋体" w:hAnsi="宋体" w:eastAsia="宋体" w:cs="宋体"/>
                <w:sz w:val="16"/>
                <w:szCs w:val="16"/>
              </w:rPr>
              <w:t>≧</w:t>
            </w:r>
            <w:r>
              <w:rPr>
                <w:rFonts w:hint="eastAsia" w:ascii="宋体" w:hAnsi="宋体" w:cs="宋体"/>
                <w:sz w:val="16"/>
                <w:szCs w:val="16"/>
              </w:rPr>
              <w:t>95%的，得9分。</w:t>
            </w:r>
          </w:p>
          <w:p>
            <w:pPr>
              <w:spacing w:line="240" w:lineRule="exact"/>
              <w:rPr>
                <w:rFonts w:ascii="宋体" w:hAnsi="宋体" w:cs="宋体"/>
                <w:sz w:val="16"/>
                <w:szCs w:val="16"/>
              </w:rPr>
            </w:pPr>
            <w:r>
              <w:rPr>
                <w:rFonts w:hint="eastAsia" w:ascii="宋体" w:hAnsi="宋体" w:cs="宋体"/>
                <w:sz w:val="16"/>
                <w:szCs w:val="16"/>
              </w:rPr>
              <w:t>预算完成率在90%（含 ）和95%之间，得8分。</w:t>
            </w:r>
          </w:p>
          <w:p>
            <w:pPr>
              <w:spacing w:line="240" w:lineRule="exact"/>
              <w:rPr>
                <w:rFonts w:ascii="宋体" w:hAnsi="宋体" w:cs="宋体"/>
                <w:sz w:val="16"/>
                <w:szCs w:val="16"/>
              </w:rPr>
            </w:pPr>
            <w:r>
              <w:rPr>
                <w:rFonts w:hint="eastAsia" w:ascii="宋体" w:hAnsi="宋体" w:cs="宋体"/>
                <w:sz w:val="16"/>
                <w:szCs w:val="16"/>
              </w:rPr>
              <w:t>预算完成率在85%（含）和90%之间，得7分。</w:t>
            </w:r>
          </w:p>
          <w:p>
            <w:pPr>
              <w:spacing w:line="240" w:lineRule="exact"/>
              <w:rPr>
                <w:rFonts w:ascii="宋体" w:hAnsi="宋体" w:cs="宋体"/>
                <w:sz w:val="16"/>
                <w:szCs w:val="16"/>
              </w:rPr>
            </w:pPr>
            <w:r>
              <w:rPr>
                <w:rFonts w:hint="eastAsia" w:ascii="宋体" w:hAnsi="宋体" w:cs="宋体"/>
                <w:sz w:val="16"/>
                <w:szCs w:val="16"/>
              </w:rPr>
              <w:t>预算完成率在80%（含）和85%之间，得6分。</w:t>
            </w:r>
          </w:p>
          <w:p>
            <w:pPr>
              <w:spacing w:line="240" w:lineRule="exact"/>
              <w:rPr>
                <w:rFonts w:ascii="宋体" w:hAnsi="宋体" w:cs="宋体"/>
                <w:sz w:val="16"/>
                <w:szCs w:val="16"/>
              </w:rPr>
            </w:pPr>
            <w:r>
              <w:rPr>
                <w:rFonts w:hint="eastAsia" w:ascii="宋体" w:hAnsi="宋体" w:cs="宋体"/>
                <w:sz w:val="16"/>
                <w:szCs w:val="16"/>
              </w:rPr>
              <w:t>预算完成率在70%（含）和80%之间，得4分。</w:t>
            </w:r>
          </w:p>
          <w:p>
            <w:pPr>
              <w:spacing w:line="240" w:lineRule="exact"/>
              <w:rPr>
                <w:rFonts w:ascii="宋体" w:hAnsi="宋体" w:cs="宋体"/>
                <w:sz w:val="16"/>
                <w:szCs w:val="16"/>
              </w:rPr>
            </w:pPr>
            <w:r>
              <w:rPr>
                <w:rFonts w:hint="eastAsia" w:ascii="宋体" w:hAnsi="宋体" w:cs="宋体"/>
                <w:sz w:val="16"/>
                <w:szCs w:val="16"/>
              </w:rPr>
              <w:t>预算完成率在〈70%，得0分。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120.58/120.58×100%=99%</w:t>
            </w:r>
          </w:p>
        </w:tc>
        <w:tc>
          <w:tcPr>
            <w:tcW w:w="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w:t>
            </w: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w:t>
            </w:r>
          </w:p>
        </w:tc>
        <w:tc>
          <w:tcPr>
            <w:tcW w:w="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pacing w:val="-6"/>
                <w:sz w:val="16"/>
                <w:szCs w:val="16"/>
              </w:rPr>
            </w:pPr>
            <w:r>
              <w:rPr>
                <w:rFonts w:hint="eastAsia" w:ascii="宋体" w:hAnsi="宋体" w:cs="宋体"/>
                <w:sz w:val="16"/>
                <w:szCs w:val="16"/>
              </w:rPr>
              <w:t>预算调整率</w:t>
            </w:r>
            <w:r>
              <w:rPr>
                <w:rFonts w:hint="eastAsia" w:ascii="宋体" w:hAnsi="宋体" w:cs="宋体"/>
                <w:spacing w:val="-6"/>
                <w:sz w:val="16"/>
                <w:szCs w:val="16"/>
              </w:rPr>
              <w:t>=(预算调整数/预算数)×100%，用以反映和考核部门(单位)预算的调整程度。</w:t>
            </w:r>
          </w:p>
          <w:p>
            <w:pPr>
              <w:spacing w:line="240" w:lineRule="exact"/>
              <w:rPr>
                <w:rFonts w:ascii="宋体" w:hAnsi="宋体" w:cs="宋体"/>
                <w:sz w:val="16"/>
                <w:szCs w:val="16"/>
              </w:rPr>
            </w:pPr>
            <w:r>
              <w:rPr>
                <w:rFonts w:hint="eastAsia" w:ascii="宋体" w:hAnsi="宋体" w:cs="宋体"/>
                <w:sz w:val="16"/>
                <w:szCs w:val="16"/>
              </w:rPr>
              <w:t>预算调整数：部门（单位）在本年度内涉及预算的追加、追减或结构调整的资金总和（因落实国家政策、发生不可抗力、上级部门或本级党委政府临时交办而产生的调整除外）。</w:t>
            </w:r>
          </w:p>
          <w:p>
            <w:pPr>
              <w:spacing w:line="240" w:lineRule="exact"/>
              <w:rPr>
                <w:rFonts w:ascii="宋体" w:hAnsi="宋体" w:cs="宋体"/>
                <w:sz w:val="16"/>
                <w:szCs w:val="16"/>
              </w:rPr>
            </w:pPr>
            <w:r>
              <w:rPr>
                <w:rFonts w:hint="eastAsia" w:ascii="宋体" w:hAnsi="宋体" w:cs="宋体"/>
                <w:sz w:val="16"/>
                <w:szCs w:val="16"/>
              </w:rPr>
              <w:t>预算包括一般公共预算与政府性基金预算。</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16"/>
                <w:szCs w:val="16"/>
              </w:rPr>
            </w:pPr>
            <w:r>
              <w:rPr>
                <w:rFonts w:hint="eastAsia" w:ascii="宋体" w:hAnsi="宋体" w:cs="宋体"/>
                <w:sz w:val="16"/>
                <w:szCs w:val="16"/>
              </w:rPr>
              <w:t>预算调整率绝对值</w:t>
            </w:r>
            <w:r>
              <w:rPr>
                <w:rFonts w:hint="eastAsia" w:ascii="宋体" w:hAnsi="宋体" w:eastAsia="宋体" w:cs="宋体"/>
                <w:sz w:val="16"/>
                <w:szCs w:val="16"/>
              </w:rPr>
              <w:t>≦</w:t>
            </w:r>
            <w:r>
              <w:rPr>
                <w:rFonts w:hint="eastAsia" w:ascii="宋体" w:hAnsi="宋体" w:cs="宋体"/>
                <w:sz w:val="16"/>
                <w:szCs w:val="16"/>
              </w:rPr>
              <w:t>5%,得5分。预算调整率绝对值〉5%的，每增加0.1个百分点扣0.1分，扣完为止。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（120.58-120.58)/120.58</w:t>
            </w:r>
            <w:r>
              <w:rPr>
                <w:rFonts w:hint="eastAsia" w:ascii="宋体" w:hAnsi="宋体" w:cs="宋体"/>
                <w:spacing w:val="-6"/>
                <w:sz w:val="16"/>
                <w:szCs w:val="16"/>
              </w:rPr>
              <w:t>×100%=0%</w:t>
            </w:r>
          </w:p>
        </w:tc>
        <w:tc>
          <w:tcPr>
            <w:tcW w:w="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w:t>
            </w: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120.58</w:t>
            </w:r>
          </w:p>
        </w:tc>
        <w:tc>
          <w:tcPr>
            <w:tcW w:w="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一级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二级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三级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分</w:t>
            </w:r>
          </w:p>
          <w:p>
            <w:pPr>
              <w:spacing w:line="240" w:lineRule="exact"/>
              <w:jc w:val="center"/>
              <w:rPr>
                <w:rFonts w:ascii="宋体" w:hAnsi="宋体" w:cs="宋体"/>
                <w:bCs/>
                <w:sz w:val="16"/>
                <w:szCs w:val="16"/>
              </w:rPr>
            </w:pPr>
            <w:r>
              <w:rPr>
                <w:rFonts w:hint="eastAsia" w:ascii="宋体" w:hAnsi="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指标说明</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年初目标值</w:t>
            </w: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实际完成值</w:t>
            </w:r>
          </w:p>
        </w:tc>
        <w:tc>
          <w:tcPr>
            <w:tcW w:w="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得分</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支出进度率=（实际支出/支出预算）×100%，用以反映和考核部门（单位）预算执行的及时性和均衡性程度。</w:t>
            </w:r>
          </w:p>
          <w:p>
            <w:pPr>
              <w:spacing w:line="320" w:lineRule="exact"/>
              <w:rPr>
                <w:rFonts w:ascii="宋体" w:hAnsi="宋体" w:cs="宋体"/>
                <w:sz w:val="16"/>
                <w:szCs w:val="16"/>
              </w:rPr>
            </w:pPr>
            <w:r>
              <w:rPr>
                <w:rFonts w:hint="eastAsia" w:ascii="宋体" w:hAnsi="宋体" w:cs="宋体"/>
                <w:sz w:val="16"/>
                <w:szCs w:val="16"/>
              </w:rPr>
              <w:t>半年支出进度=部门上半年实际支出/（上年结余结转+本年部门预算安排+上半年执行中追加追减）*100%。</w:t>
            </w:r>
          </w:p>
          <w:p>
            <w:pPr>
              <w:spacing w:line="320" w:lineRule="exact"/>
              <w:rPr>
                <w:rFonts w:ascii="宋体" w:hAnsi="宋体" w:cs="宋体"/>
                <w:sz w:val="16"/>
                <w:szCs w:val="16"/>
              </w:rPr>
            </w:pPr>
            <w:r>
              <w:rPr>
                <w:rFonts w:hint="eastAsia" w:ascii="宋体" w:hAnsi="宋体" w:cs="宋体"/>
                <w:sz w:val="16"/>
                <w:szCs w:val="16"/>
              </w:rPr>
              <w:t>前三季度支出进度=部门前三季度实际支出/（上年结余结转+本年部门预算安排+前三季度执行中追加追减）*100%。</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半年进度：进度率</w:t>
            </w:r>
            <w:r>
              <w:rPr>
                <w:rFonts w:hint="eastAsia" w:ascii="宋体" w:hAnsi="宋体" w:eastAsia="宋体" w:cs="宋体"/>
                <w:sz w:val="16"/>
                <w:szCs w:val="16"/>
              </w:rPr>
              <w:t>≧</w:t>
            </w:r>
            <w:r>
              <w:rPr>
                <w:rFonts w:hint="eastAsia" w:ascii="宋体" w:hAnsi="宋体" w:cs="宋体"/>
                <w:sz w:val="16"/>
                <w:szCs w:val="16"/>
              </w:rPr>
              <w:t>45%，得2分；进度率在40%（含）和45%之间，得1分；进度率〈40%，得0分。</w:t>
            </w:r>
          </w:p>
          <w:p>
            <w:pPr>
              <w:spacing w:line="320" w:lineRule="exact"/>
              <w:rPr>
                <w:rFonts w:ascii="宋体" w:hAnsi="宋体" w:cs="宋体"/>
                <w:sz w:val="16"/>
                <w:szCs w:val="16"/>
              </w:rPr>
            </w:pPr>
            <w:r>
              <w:rPr>
                <w:rFonts w:hint="eastAsia" w:ascii="宋体" w:hAnsi="宋体" w:cs="宋体"/>
                <w:sz w:val="16"/>
                <w:szCs w:val="16"/>
              </w:rPr>
              <w:t>前三季度进度：进度率</w:t>
            </w:r>
            <w:r>
              <w:rPr>
                <w:rFonts w:hint="eastAsia" w:ascii="宋体" w:hAnsi="宋体" w:eastAsia="宋体" w:cs="宋体"/>
                <w:sz w:val="16"/>
                <w:szCs w:val="16"/>
              </w:rPr>
              <w:t>≧</w:t>
            </w:r>
            <w:r>
              <w:rPr>
                <w:rFonts w:hint="eastAsia" w:ascii="宋体" w:hAnsi="宋体" w:cs="宋体"/>
                <w:sz w:val="16"/>
                <w:szCs w:val="16"/>
              </w:rPr>
              <w:t>75%，得3分；进度率在60%（含）和75%之间，得2分；进度率〈60%，得0分。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集中支付</w:t>
            </w:r>
          </w:p>
          <w:p>
            <w:pPr>
              <w:spacing w:line="320" w:lineRule="exact"/>
              <w:jc w:val="center"/>
              <w:rPr>
                <w:rFonts w:ascii="宋体" w:hAnsi="宋体" w:cs="宋体"/>
                <w:sz w:val="16"/>
                <w:szCs w:val="16"/>
              </w:rPr>
            </w:pPr>
            <w:r>
              <w:rPr>
                <w:rFonts w:hint="eastAsia" w:ascii="宋体" w:hAnsi="宋体" w:cs="宋体"/>
                <w:sz w:val="16"/>
                <w:szCs w:val="16"/>
              </w:rPr>
              <w:t>系统</w:t>
            </w:r>
          </w:p>
        </w:tc>
        <w:tc>
          <w:tcPr>
            <w:tcW w:w="6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120.58</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120.58</w:t>
            </w:r>
          </w:p>
        </w:tc>
        <w:tc>
          <w:tcPr>
            <w:tcW w:w="5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部门预算中除财政拨款外的其他收入预算与决算差异率。</w:t>
            </w:r>
          </w:p>
          <w:p>
            <w:pPr>
              <w:spacing w:line="320" w:lineRule="exact"/>
              <w:rPr>
                <w:rFonts w:ascii="宋体" w:hAnsi="宋体" w:cs="宋体"/>
                <w:sz w:val="16"/>
                <w:szCs w:val="16"/>
              </w:rPr>
            </w:pPr>
            <w:r>
              <w:rPr>
                <w:rFonts w:hint="eastAsia" w:ascii="宋体" w:hAnsi="宋体" w:cs="宋体"/>
                <w:sz w:val="16"/>
                <w:szCs w:val="16"/>
              </w:rPr>
              <w:t>预算编制准确率=其他收入决算数/其他收入预算数×100%-100%。</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预算编制准确率</w:t>
            </w:r>
            <w:r>
              <w:rPr>
                <w:rFonts w:hint="eastAsia" w:ascii="宋体" w:hAnsi="宋体" w:eastAsia="宋体" w:cs="宋体"/>
                <w:sz w:val="16"/>
                <w:szCs w:val="16"/>
              </w:rPr>
              <w:t>≦</w:t>
            </w:r>
            <w:r>
              <w:rPr>
                <w:rFonts w:hint="eastAsia" w:ascii="宋体" w:hAnsi="宋体" w:cs="宋体"/>
                <w:sz w:val="16"/>
                <w:szCs w:val="16"/>
              </w:rPr>
              <w:t>20%，得5分。预算编制准确率在20%和40%（含）之间，得3分。</w:t>
            </w:r>
          </w:p>
          <w:p>
            <w:pPr>
              <w:spacing w:line="320" w:lineRule="exact"/>
              <w:rPr>
                <w:rFonts w:ascii="宋体" w:hAnsi="宋体" w:cs="宋体"/>
                <w:sz w:val="16"/>
                <w:szCs w:val="16"/>
              </w:rPr>
            </w:pPr>
            <w:r>
              <w:rPr>
                <w:rFonts w:hint="eastAsia" w:ascii="宋体" w:hAnsi="宋体" w:cs="宋体"/>
                <w:sz w:val="16"/>
                <w:szCs w:val="16"/>
              </w:rPr>
              <w:t>预算编制准确率〉40%，得0分。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无其他收入</w:t>
            </w:r>
          </w:p>
        </w:tc>
        <w:tc>
          <w:tcPr>
            <w:tcW w:w="6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0</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0</w:t>
            </w:r>
          </w:p>
        </w:tc>
        <w:tc>
          <w:tcPr>
            <w:tcW w:w="5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“三公经费”控制率=（“三公经费”实际支出数/“三公经费”预算安排数）×100%，用以反映和考核部门（单位）对“三公经费”的实际控制程度。</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三公经费控制率</w:t>
            </w:r>
            <w:r>
              <w:rPr>
                <w:rFonts w:hint="eastAsia" w:ascii="宋体" w:hAnsi="宋体" w:eastAsia="宋体" w:cs="宋体"/>
                <w:sz w:val="16"/>
                <w:szCs w:val="16"/>
              </w:rPr>
              <w:t>≦</w:t>
            </w:r>
            <w:r>
              <w:rPr>
                <w:rFonts w:hint="eastAsia" w:ascii="宋体" w:hAnsi="宋体" w:cs="宋体"/>
                <w:sz w:val="16"/>
                <w:szCs w:val="16"/>
              </w:rPr>
              <w:t>100%，得5分，每增加0.1个百分点扣0.5分，扣完为止。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无三公经费</w:t>
            </w:r>
          </w:p>
        </w:tc>
        <w:tc>
          <w:tcPr>
            <w:tcW w:w="6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0</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0</w:t>
            </w:r>
          </w:p>
        </w:tc>
        <w:tc>
          <w:tcPr>
            <w:tcW w:w="5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部门（单位）资产管理是否规范，用以反映和考核部门（单位）资产管理情况。</w:t>
            </w:r>
          </w:p>
          <w:p>
            <w:pPr>
              <w:spacing w:line="320" w:lineRule="exact"/>
              <w:rPr>
                <w:rFonts w:ascii="宋体" w:hAnsi="宋体" w:cs="宋体"/>
                <w:sz w:val="16"/>
                <w:szCs w:val="16"/>
              </w:rPr>
            </w:pPr>
            <w:r>
              <w:rPr>
                <w:rFonts w:hint="eastAsia" w:ascii="宋体" w:hAnsi="宋体" w:cs="宋体"/>
                <w:sz w:val="16"/>
                <w:szCs w:val="16"/>
              </w:rPr>
              <w:t>1.新增资产配置按预算执行。</w:t>
            </w:r>
          </w:p>
          <w:p>
            <w:pPr>
              <w:spacing w:line="320" w:lineRule="exact"/>
              <w:rPr>
                <w:rFonts w:ascii="宋体" w:hAnsi="宋体" w:cs="宋体"/>
                <w:sz w:val="16"/>
                <w:szCs w:val="16"/>
              </w:rPr>
            </w:pPr>
            <w:r>
              <w:rPr>
                <w:rFonts w:hint="eastAsia" w:ascii="宋体" w:hAnsi="宋体" w:cs="宋体"/>
                <w:sz w:val="16"/>
                <w:szCs w:val="16"/>
              </w:rPr>
              <w:t>2.资产有偿使用、处置按规定程序审批。</w:t>
            </w:r>
          </w:p>
          <w:p>
            <w:pPr>
              <w:spacing w:line="320" w:lineRule="exact"/>
              <w:rPr>
                <w:rFonts w:ascii="宋体" w:hAnsi="宋体" w:cs="宋体"/>
                <w:sz w:val="16"/>
                <w:szCs w:val="16"/>
              </w:rPr>
            </w:pPr>
            <w:r>
              <w:rPr>
                <w:rFonts w:hint="eastAsia" w:ascii="宋体" w:hAnsi="宋体" w:cs="宋体"/>
                <w:sz w:val="16"/>
                <w:szCs w:val="16"/>
              </w:rPr>
              <w:t>3.资产收益及时、足额上缴财政。</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16"/>
                <w:szCs w:val="16"/>
              </w:rPr>
            </w:pPr>
            <w:r>
              <w:rPr>
                <w:rFonts w:hint="eastAsia" w:ascii="宋体" w:hAnsi="宋体" w:cs="宋体"/>
                <w:sz w:val="16"/>
                <w:szCs w:val="16"/>
              </w:rPr>
              <w:t>全部符合5分，有1项不符扣2分，扣完为止。</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符合</w:t>
            </w:r>
          </w:p>
        </w:tc>
        <w:tc>
          <w:tcPr>
            <w:tcW w:w="6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5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一级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二级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三级</w:t>
            </w:r>
          </w:p>
          <w:p>
            <w:pPr>
              <w:spacing w:line="240" w:lineRule="exact"/>
              <w:jc w:val="center"/>
              <w:rPr>
                <w:rFonts w:ascii="宋体" w:hAnsi="宋体" w:cs="宋体"/>
                <w:bCs/>
                <w:sz w:val="16"/>
                <w:szCs w:val="16"/>
              </w:rPr>
            </w:pPr>
            <w:r>
              <w:rPr>
                <w:rFonts w:hint="eastAsia" w:ascii="宋体" w:hAnsi="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分</w:t>
            </w:r>
          </w:p>
          <w:p>
            <w:pPr>
              <w:spacing w:line="240" w:lineRule="exact"/>
              <w:jc w:val="center"/>
              <w:rPr>
                <w:rFonts w:ascii="宋体" w:hAnsi="宋体" w:cs="宋体"/>
                <w:bCs/>
                <w:sz w:val="16"/>
                <w:szCs w:val="16"/>
              </w:rPr>
            </w:pPr>
            <w:r>
              <w:rPr>
                <w:rFonts w:hint="eastAsia" w:ascii="宋体" w:hAnsi="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指标说明</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年初目标值</w:t>
            </w: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实际完成值</w:t>
            </w:r>
          </w:p>
        </w:tc>
        <w:tc>
          <w:tcPr>
            <w:tcW w:w="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得分</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过程</w:t>
            </w:r>
          </w:p>
        </w:tc>
        <w:tc>
          <w:tcPr>
            <w:tcW w:w="70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ascii="宋体" w:hAnsi="宋体" w:cs="宋体"/>
                <w:sz w:val="16"/>
                <w:szCs w:val="16"/>
              </w:rPr>
            </w:pPr>
            <w:r>
              <w:rPr>
                <w:rFonts w:hint="eastAsia" w:ascii="宋体" w:hAnsi="宋体" w:cs="宋体"/>
                <w:sz w:val="16"/>
                <w:szCs w:val="16"/>
              </w:rPr>
              <w:t>部门（单位）使用预算资金是否符合相关的预算财务管理制度的规定，用以反映和考核部门（单位）预算资金的规范运行情况。</w:t>
            </w:r>
          </w:p>
          <w:p>
            <w:pPr>
              <w:spacing w:line="230" w:lineRule="exact"/>
              <w:jc w:val="left"/>
              <w:rPr>
                <w:rFonts w:ascii="宋体" w:hAnsi="宋体" w:cs="宋体"/>
                <w:sz w:val="16"/>
                <w:szCs w:val="16"/>
              </w:rPr>
            </w:pPr>
            <w:r>
              <w:rPr>
                <w:rFonts w:hint="eastAsia" w:ascii="宋体" w:hAnsi="宋体" w:cs="宋体"/>
                <w:sz w:val="16"/>
                <w:szCs w:val="16"/>
              </w:rPr>
              <w:t>1.符合国家财经法规和财务管理制度规定以及有关专项资金管理办法的规定；</w:t>
            </w:r>
          </w:p>
          <w:p>
            <w:pPr>
              <w:spacing w:line="230" w:lineRule="exact"/>
              <w:jc w:val="left"/>
              <w:rPr>
                <w:rFonts w:ascii="宋体" w:hAnsi="宋体" w:cs="宋体"/>
                <w:sz w:val="16"/>
                <w:szCs w:val="16"/>
              </w:rPr>
            </w:pPr>
            <w:r>
              <w:rPr>
                <w:rFonts w:hint="eastAsia" w:ascii="宋体" w:hAnsi="宋体" w:cs="宋体"/>
                <w:sz w:val="16"/>
                <w:szCs w:val="16"/>
              </w:rPr>
              <w:t>2.资金的拨付有完整的审批程序和手续；</w:t>
            </w:r>
          </w:p>
          <w:p>
            <w:pPr>
              <w:spacing w:line="230" w:lineRule="exact"/>
              <w:jc w:val="left"/>
              <w:rPr>
                <w:rFonts w:ascii="宋体" w:hAnsi="宋体" w:cs="宋体"/>
                <w:sz w:val="16"/>
                <w:szCs w:val="16"/>
              </w:rPr>
            </w:pPr>
            <w:r>
              <w:rPr>
                <w:rFonts w:hint="eastAsia" w:ascii="宋体" w:hAnsi="宋体" w:cs="宋体"/>
                <w:sz w:val="16"/>
                <w:szCs w:val="16"/>
              </w:rPr>
              <w:t>3.重大项目开支经过评估论证；</w:t>
            </w:r>
          </w:p>
          <w:p>
            <w:pPr>
              <w:spacing w:line="230" w:lineRule="exact"/>
              <w:jc w:val="left"/>
              <w:rPr>
                <w:rFonts w:ascii="宋体" w:hAnsi="宋体" w:cs="宋体"/>
                <w:sz w:val="16"/>
                <w:szCs w:val="16"/>
              </w:rPr>
            </w:pPr>
            <w:r>
              <w:rPr>
                <w:rFonts w:hint="eastAsia" w:ascii="宋体" w:hAnsi="宋体" w:cs="宋体"/>
                <w:sz w:val="16"/>
                <w:szCs w:val="16"/>
              </w:rPr>
              <w:t>4.符合部门预算批复的用途；</w:t>
            </w:r>
          </w:p>
          <w:p>
            <w:pPr>
              <w:spacing w:line="230" w:lineRule="exact"/>
              <w:jc w:val="left"/>
              <w:rPr>
                <w:rFonts w:ascii="宋体" w:hAnsi="宋体" w:cs="宋体"/>
                <w:sz w:val="16"/>
                <w:szCs w:val="16"/>
              </w:rPr>
            </w:pPr>
            <w:r>
              <w:rPr>
                <w:rFonts w:hint="eastAsia" w:ascii="宋体" w:hAnsi="宋体" w:cs="宋体"/>
                <w:sz w:val="16"/>
                <w:szCs w:val="16"/>
              </w:rPr>
              <w:t>5.不存</w:t>
            </w:r>
            <w:r>
              <w:rPr>
                <w:rFonts w:hint="eastAsia" w:ascii="宋体" w:hAnsi="宋体" w:cs="宋体"/>
                <w:spacing w:val="-6"/>
                <w:sz w:val="16"/>
                <w:szCs w:val="16"/>
              </w:rPr>
              <w:t>在截留、挤占、挪用、虚列支出等情况。</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全部符合5分，有1项不符扣2分。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合规</w:t>
            </w:r>
          </w:p>
        </w:tc>
        <w:tc>
          <w:tcPr>
            <w:tcW w:w="614" w:type="dxa"/>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100%</w:t>
            </w:r>
          </w:p>
        </w:tc>
        <w:tc>
          <w:tcPr>
            <w:tcW w:w="59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40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ascii="宋体" w:hAnsi="宋体" w:cs="宋体"/>
                <w:sz w:val="16"/>
                <w:szCs w:val="16"/>
              </w:rPr>
            </w:pP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ascii="宋体" w:hAnsi="宋体" w:cs="宋体"/>
                <w:spacing w:val="-6"/>
                <w:sz w:val="16"/>
                <w:szCs w:val="16"/>
              </w:rPr>
            </w:pPr>
            <w:r>
              <w:rPr>
                <w:rFonts w:hint="eastAsia" w:ascii="宋体" w:hAnsi="宋体" w:cs="宋体"/>
                <w:sz w:val="16"/>
                <w:szCs w:val="16"/>
              </w:rPr>
              <w:t>1.若为定</w:t>
            </w:r>
            <w:r>
              <w:rPr>
                <w:rFonts w:hint="eastAsia" w:ascii="宋体" w:hAnsi="宋体" w:cs="宋体"/>
                <w:spacing w:val="-6"/>
                <w:sz w:val="16"/>
                <w:szCs w:val="16"/>
              </w:rPr>
              <w:t>性指标，根据“三档”原则分别按照指标分值的100-80%（含）、80-50%（含）、50-10%来记分；</w:t>
            </w:r>
          </w:p>
          <w:p>
            <w:pPr>
              <w:spacing w:line="230" w:lineRule="exact"/>
              <w:jc w:val="left"/>
              <w:rPr>
                <w:rFonts w:ascii="宋体" w:hAnsi="宋体" w:cs="宋体"/>
                <w:sz w:val="16"/>
                <w:szCs w:val="16"/>
              </w:rPr>
            </w:pPr>
            <w:r>
              <w:rPr>
                <w:rFonts w:hint="eastAsia" w:ascii="宋体" w:hAnsi="宋体" w:cs="宋体"/>
                <w:sz w:val="16"/>
                <w:szCs w:val="16"/>
              </w:rPr>
              <w:t>2.若为定量指标，完成值达到指标值，记满分；未达到指标值，按完成比率计分，正向指标（即指标值为</w:t>
            </w:r>
            <w:r>
              <w:rPr>
                <w:rFonts w:hint="eastAsia" w:ascii="宋体" w:hAnsi="宋体" w:eastAsia="宋体" w:cs="宋体"/>
                <w:sz w:val="16"/>
                <w:szCs w:val="16"/>
              </w:rPr>
              <w:t>≧</w:t>
            </w:r>
            <w:r>
              <w:rPr>
                <w:rFonts w:hint="eastAsia" w:ascii="宋体" w:hAnsi="宋体" w:cs="宋体"/>
                <w:sz w:val="16"/>
                <w:szCs w:val="16"/>
              </w:rPr>
              <w:t>*）得分=实际完成值/年初目标值*该</w:t>
            </w:r>
            <w:r>
              <w:rPr>
                <w:rFonts w:hint="eastAsia" w:ascii="宋体" w:hAnsi="宋体" w:cs="宋体"/>
                <w:spacing w:val="-6"/>
                <w:sz w:val="16"/>
                <w:szCs w:val="16"/>
              </w:rPr>
              <w:t>指标分值，反向指标（即指标值为</w:t>
            </w:r>
            <w:r>
              <w:rPr>
                <w:rFonts w:hint="eastAsia" w:ascii="宋体" w:hAnsi="宋体" w:eastAsia="宋体" w:cs="宋体"/>
                <w:spacing w:val="-6"/>
                <w:sz w:val="16"/>
                <w:szCs w:val="16"/>
              </w:rPr>
              <w:t>≦</w:t>
            </w:r>
            <w:r>
              <w:rPr>
                <w:rFonts w:hint="eastAsia" w:ascii="宋体" w:hAnsi="宋体" w:cs="宋体"/>
                <w:spacing w:val="-6"/>
                <w:sz w:val="16"/>
                <w:szCs w:val="16"/>
              </w:rPr>
              <w:t>*）得分=年初目标值/实际完成值*该指标分值。</w:t>
            </w:r>
          </w:p>
        </w:tc>
        <w:tc>
          <w:tcPr>
            <w:tcW w:w="99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c>
          <w:tcPr>
            <w:tcW w:w="614" w:type="dxa"/>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100%</w:t>
            </w:r>
          </w:p>
        </w:tc>
        <w:tc>
          <w:tcPr>
            <w:tcW w:w="59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40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20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ascii="宋体" w:hAnsi="宋体" w:cs="宋体"/>
                <w:sz w:val="16"/>
                <w:szCs w:val="16"/>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6"/>
                <w:szCs w:val="16"/>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c>
          <w:tcPr>
            <w:tcW w:w="614" w:type="dxa"/>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100%</w:t>
            </w:r>
          </w:p>
        </w:tc>
        <w:tc>
          <w:tcPr>
            <w:tcW w:w="59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r>
              <w:rPr>
                <w:rFonts w:hint="eastAsia" w:ascii="宋体" w:hAnsi="宋体" w:cs="宋体"/>
                <w:sz w:val="16"/>
                <w:szCs w:val="16"/>
              </w:rPr>
              <w:t>20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052" w:type="dxa"/>
            <w:gridSpan w:val="12"/>
            <w:tcBorders>
              <w:top w:val="single" w:color="auto" w:sz="4" w:space="0"/>
              <w:left w:val="single" w:color="auto" w:sz="4" w:space="0"/>
              <w:bottom w:val="single" w:color="auto" w:sz="4" w:space="0"/>
              <w:right w:val="single" w:color="auto" w:sz="4" w:space="0"/>
            </w:tcBorders>
            <w:vAlign w:val="center"/>
          </w:tcPr>
          <w:p>
            <w:pPr>
              <w:spacing w:line="230" w:lineRule="exact"/>
              <w:rPr>
                <w:rFonts w:ascii="宋体" w:hAnsi="宋体" w:cs="宋体"/>
                <w:sz w:val="16"/>
                <w:szCs w:val="16"/>
              </w:rPr>
            </w:pPr>
            <w:r>
              <w:rPr>
                <w:rFonts w:hint="eastAsia" w:ascii="宋体" w:hAnsi="宋体" w:cs="宋体"/>
                <w:sz w:val="16"/>
                <w:szCs w:val="16"/>
              </w:rPr>
              <w:t>备注：</w:t>
            </w:r>
          </w:p>
          <w:p>
            <w:pPr>
              <w:spacing w:line="230" w:lineRule="exact"/>
              <w:rPr>
                <w:rFonts w:ascii="宋体" w:hAnsi="宋体" w:cs="宋体"/>
                <w:sz w:val="16"/>
                <w:szCs w:val="16"/>
              </w:rPr>
            </w:pPr>
            <w:r>
              <w:rPr>
                <w:rFonts w:hint="eastAsia" w:ascii="宋体" w:hAnsi="宋体" w:cs="宋体"/>
                <w:sz w:val="16"/>
                <w:szCs w:val="16"/>
              </w:rPr>
              <w:t>1.“项目产出”和“项目效果”直接细化成部门年初绩效目标中的指标，并根据重要程度赋权。</w:t>
            </w:r>
          </w:p>
          <w:p>
            <w:pPr>
              <w:spacing w:line="230" w:lineRule="exact"/>
              <w:rPr>
                <w:rFonts w:ascii="宋体" w:hAnsi="宋体" w:cs="宋体"/>
                <w:sz w:val="16"/>
                <w:szCs w:val="16"/>
              </w:rPr>
            </w:pPr>
            <w:r>
              <w:rPr>
                <w:rFonts w:hint="eastAsia" w:ascii="宋体" w:hAnsi="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widowControl/>
        <w:jc w:val="left"/>
        <w:rPr>
          <w:rFonts w:ascii="宋体" w:hAnsi="宋体" w:cs="宋体"/>
          <w:sz w:val="18"/>
          <w:szCs w:val="18"/>
        </w:rPr>
        <w:sectPr>
          <w:pgSz w:w="16838" w:h="11906" w:orient="landscape"/>
          <w:pgMar w:top="1587" w:right="1417" w:bottom="1474" w:left="1417" w:header="851" w:footer="1531" w:gutter="0"/>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rPr>
      </w:pPr>
      <w:r>
        <w:rPr>
          <w:rFonts w:hint="eastAsia" w:ascii="黑体" w:hAnsi="黑体" w:eastAsia="黑体" w:cs="黑体"/>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2020年机关运行经费年初预算为38.22万元，其中上年结转0.19万元，调整预算数增加了0万元，支出决算为38.22万元。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（二）政府采购支出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2020本部门无政府采购支出。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rPr>
      </w:pPr>
      <w:r>
        <w:rPr>
          <w:rFonts w:hint="eastAsia" w:ascii="仿宋_GB2312" w:hAnsi="仿宋_GB2312" w:cs="仿宋_GB2312"/>
          <w:b/>
          <w:bCs/>
        </w:rPr>
        <w:t>1.基本支出：</w:t>
      </w:r>
      <w:r>
        <w:rPr>
          <w:rFonts w:hint="eastAsia" w:ascii="仿宋_GB2312" w:hAnsi="仿宋_GB2312" w:cs="仿宋_GB231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rPr>
      </w:pPr>
      <w:r>
        <w:rPr>
          <w:rFonts w:hint="eastAsia" w:ascii="仿宋_GB2312" w:hAnsi="仿宋_GB2312" w:cs="仿宋_GB2312"/>
          <w:b/>
          <w:bCs/>
        </w:rPr>
        <w:t>2.项目支出：</w:t>
      </w:r>
      <w:r>
        <w:rPr>
          <w:rFonts w:hint="eastAsia" w:ascii="仿宋_GB2312" w:hAnsi="仿宋_GB2312" w:cs="仿宋_GB231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rPr>
      </w:pPr>
      <w:r>
        <w:rPr>
          <w:rFonts w:hint="eastAsia" w:ascii="仿宋_GB2312" w:hAnsi="仿宋_GB2312" w:cs="仿宋_GB2312"/>
          <w:b/>
          <w:bCs/>
        </w:rPr>
        <w:t>3.“三公”经费：</w:t>
      </w:r>
      <w:r>
        <w:rPr>
          <w:rFonts w:hint="eastAsia" w:ascii="仿宋_GB2312" w:hAnsi="仿宋_GB2312" w:cs="仿宋_GB231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rPr>
      </w:pPr>
      <w:r>
        <w:rPr>
          <w:rFonts w:hint="eastAsia" w:ascii="仿宋_GB2312" w:hAnsi="仿宋_GB2312" w:cs="仿宋_GB2312"/>
          <w:b/>
          <w:bCs/>
        </w:rPr>
        <w:t>4.财政拨款收入：</w:t>
      </w:r>
      <w:r>
        <w:rPr>
          <w:rFonts w:hint="eastAsia" w:ascii="仿宋_GB2312" w:hAnsi="仿宋_GB2312" w:cs="仿宋_GB231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4EC06"/>
    <w:multiLevelType w:val="singleLevel"/>
    <w:tmpl w:val="9EC4EC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628F"/>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E7BEB"/>
    <w:rsid w:val="000F1DD1"/>
    <w:rsid w:val="000F2DE9"/>
    <w:rsid w:val="000F37B7"/>
    <w:rsid w:val="000F547F"/>
    <w:rsid w:val="000F5560"/>
    <w:rsid w:val="000F5642"/>
    <w:rsid w:val="000F5837"/>
    <w:rsid w:val="00101206"/>
    <w:rsid w:val="00101322"/>
    <w:rsid w:val="00101AA0"/>
    <w:rsid w:val="00101D24"/>
    <w:rsid w:val="0010301D"/>
    <w:rsid w:val="0010303F"/>
    <w:rsid w:val="00103098"/>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D1B"/>
    <w:rsid w:val="0016475B"/>
    <w:rsid w:val="0016487F"/>
    <w:rsid w:val="00165A91"/>
    <w:rsid w:val="00166E82"/>
    <w:rsid w:val="00167AE7"/>
    <w:rsid w:val="00167B08"/>
    <w:rsid w:val="001707AE"/>
    <w:rsid w:val="00170B1C"/>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C82"/>
    <w:rsid w:val="00192CF9"/>
    <w:rsid w:val="00193665"/>
    <w:rsid w:val="0019368F"/>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2609"/>
    <w:rsid w:val="001C399E"/>
    <w:rsid w:val="001C3E40"/>
    <w:rsid w:val="001C4955"/>
    <w:rsid w:val="001C4B76"/>
    <w:rsid w:val="001C7FC7"/>
    <w:rsid w:val="001D12CF"/>
    <w:rsid w:val="001D13F4"/>
    <w:rsid w:val="001D18F3"/>
    <w:rsid w:val="001D211E"/>
    <w:rsid w:val="001D33FB"/>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32D"/>
    <w:rsid w:val="00254C47"/>
    <w:rsid w:val="00254C79"/>
    <w:rsid w:val="0025640B"/>
    <w:rsid w:val="00256748"/>
    <w:rsid w:val="0025699B"/>
    <w:rsid w:val="0025711B"/>
    <w:rsid w:val="00257DF3"/>
    <w:rsid w:val="00260597"/>
    <w:rsid w:val="0026205C"/>
    <w:rsid w:val="00262F79"/>
    <w:rsid w:val="002639FB"/>
    <w:rsid w:val="002644B8"/>
    <w:rsid w:val="00264F41"/>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7EF3"/>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00C0"/>
    <w:rsid w:val="00322063"/>
    <w:rsid w:val="0032300B"/>
    <w:rsid w:val="0032382A"/>
    <w:rsid w:val="00323FEB"/>
    <w:rsid w:val="0032480D"/>
    <w:rsid w:val="00324862"/>
    <w:rsid w:val="00325E72"/>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1C43"/>
    <w:rsid w:val="003D1DC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1961"/>
    <w:rsid w:val="00473605"/>
    <w:rsid w:val="00473607"/>
    <w:rsid w:val="0047551E"/>
    <w:rsid w:val="0047599C"/>
    <w:rsid w:val="00475D53"/>
    <w:rsid w:val="004762BE"/>
    <w:rsid w:val="00476483"/>
    <w:rsid w:val="004810F1"/>
    <w:rsid w:val="004817A4"/>
    <w:rsid w:val="00482790"/>
    <w:rsid w:val="00482D05"/>
    <w:rsid w:val="00482DAF"/>
    <w:rsid w:val="004830DC"/>
    <w:rsid w:val="00483221"/>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712"/>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FCC"/>
    <w:rsid w:val="005849D6"/>
    <w:rsid w:val="00584E41"/>
    <w:rsid w:val="00585F07"/>
    <w:rsid w:val="00586B9D"/>
    <w:rsid w:val="00587FA1"/>
    <w:rsid w:val="00590D99"/>
    <w:rsid w:val="00591828"/>
    <w:rsid w:val="005949AA"/>
    <w:rsid w:val="005962FC"/>
    <w:rsid w:val="005967F7"/>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1B84"/>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184"/>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E0BE1"/>
    <w:rsid w:val="006E0DAF"/>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0BB6"/>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1DC2"/>
    <w:rsid w:val="0075336D"/>
    <w:rsid w:val="00754061"/>
    <w:rsid w:val="007544F7"/>
    <w:rsid w:val="00754803"/>
    <w:rsid w:val="00755E36"/>
    <w:rsid w:val="007575C4"/>
    <w:rsid w:val="00761A6F"/>
    <w:rsid w:val="0076203C"/>
    <w:rsid w:val="00762266"/>
    <w:rsid w:val="007622A8"/>
    <w:rsid w:val="00762EA0"/>
    <w:rsid w:val="00763ABB"/>
    <w:rsid w:val="00763C00"/>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D97"/>
    <w:rsid w:val="00776F38"/>
    <w:rsid w:val="007772BE"/>
    <w:rsid w:val="007772C8"/>
    <w:rsid w:val="007804A8"/>
    <w:rsid w:val="00781ECA"/>
    <w:rsid w:val="0078227A"/>
    <w:rsid w:val="007824D0"/>
    <w:rsid w:val="007830BA"/>
    <w:rsid w:val="00783787"/>
    <w:rsid w:val="00784058"/>
    <w:rsid w:val="00784A5A"/>
    <w:rsid w:val="00784C4C"/>
    <w:rsid w:val="00786B52"/>
    <w:rsid w:val="007870BE"/>
    <w:rsid w:val="00790F68"/>
    <w:rsid w:val="00791E9C"/>
    <w:rsid w:val="00792164"/>
    <w:rsid w:val="00792F66"/>
    <w:rsid w:val="0079338D"/>
    <w:rsid w:val="00793B57"/>
    <w:rsid w:val="00793CBE"/>
    <w:rsid w:val="007946DB"/>
    <w:rsid w:val="00796AA4"/>
    <w:rsid w:val="00796F9C"/>
    <w:rsid w:val="00797D40"/>
    <w:rsid w:val="007A012D"/>
    <w:rsid w:val="007A0CAC"/>
    <w:rsid w:val="007A0E52"/>
    <w:rsid w:val="007A0F25"/>
    <w:rsid w:val="007A179D"/>
    <w:rsid w:val="007A1964"/>
    <w:rsid w:val="007A2033"/>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8A6"/>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1FF5"/>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4F9D"/>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037"/>
    <w:rsid w:val="008D27B2"/>
    <w:rsid w:val="008D36A9"/>
    <w:rsid w:val="008D43D3"/>
    <w:rsid w:val="008D47A7"/>
    <w:rsid w:val="008D4B4B"/>
    <w:rsid w:val="008D64C6"/>
    <w:rsid w:val="008D699F"/>
    <w:rsid w:val="008D77FF"/>
    <w:rsid w:val="008D7E37"/>
    <w:rsid w:val="008D7F31"/>
    <w:rsid w:val="008E0371"/>
    <w:rsid w:val="008E15CA"/>
    <w:rsid w:val="008E1F59"/>
    <w:rsid w:val="008E4DC7"/>
    <w:rsid w:val="008E4DD8"/>
    <w:rsid w:val="008E7E79"/>
    <w:rsid w:val="008E7FEA"/>
    <w:rsid w:val="008F1435"/>
    <w:rsid w:val="008F2032"/>
    <w:rsid w:val="008F219B"/>
    <w:rsid w:val="008F2296"/>
    <w:rsid w:val="008F3841"/>
    <w:rsid w:val="008F467C"/>
    <w:rsid w:val="008F563F"/>
    <w:rsid w:val="008F61A5"/>
    <w:rsid w:val="008F6B16"/>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33F"/>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B0436"/>
    <w:rsid w:val="009B1331"/>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2BD3"/>
    <w:rsid w:val="009E522C"/>
    <w:rsid w:val="009F0186"/>
    <w:rsid w:val="009F11E1"/>
    <w:rsid w:val="009F3A19"/>
    <w:rsid w:val="009F450D"/>
    <w:rsid w:val="009F54CC"/>
    <w:rsid w:val="009F5CB2"/>
    <w:rsid w:val="009F7273"/>
    <w:rsid w:val="009F76BF"/>
    <w:rsid w:val="00A0027B"/>
    <w:rsid w:val="00A010C1"/>
    <w:rsid w:val="00A01752"/>
    <w:rsid w:val="00A02DEC"/>
    <w:rsid w:val="00A04E70"/>
    <w:rsid w:val="00A05FEA"/>
    <w:rsid w:val="00A06B19"/>
    <w:rsid w:val="00A07099"/>
    <w:rsid w:val="00A07430"/>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04F3"/>
    <w:rsid w:val="00A31B39"/>
    <w:rsid w:val="00A3210F"/>
    <w:rsid w:val="00A34418"/>
    <w:rsid w:val="00A3482E"/>
    <w:rsid w:val="00A35E0B"/>
    <w:rsid w:val="00A36506"/>
    <w:rsid w:val="00A40255"/>
    <w:rsid w:val="00A402A3"/>
    <w:rsid w:val="00A41153"/>
    <w:rsid w:val="00A417E9"/>
    <w:rsid w:val="00A41A2B"/>
    <w:rsid w:val="00A4209F"/>
    <w:rsid w:val="00A42418"/>
    <w:rsid w:val="00A437B0"/>
    <w:rsid w:val="00A442A9"/>
    <w:rsid w:val="00A4468F"/>
    <w:rsid w:val="00A452DE"/>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BC0"/>
    <w:rsid w:val="00AC4EF5"/>
    <w:rsid w:val="00AC6D59"/>
    <w:rsid w:val="00AC7430"/>
    <w:rsid w:val="00AC7723"/>
    <w:rsid w:val="00AC7D7B"/>
    <w:rsid w:val="00AD00DF"/>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073DF"/>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2481"/>
    <w:rsid w:val="00B927CC"/>
    <w:rsid w:val="00B92C94"/>
    <w:rsid w:val="00B92D86"/>
    <w:rsid w:val="00B9314E"/>
    <w:rsid w:val="00B932AD"/>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27BD3"/>
    <w:rsid w:val="00C303DB"/>
    <w:rsid w:val="00C30637"/>
    <w:rsid w:val="00C310E0"/>
    <w:rsid w:val="00C31E36"/>
    <w:rsid w:val="00C32DE2"/>
    <w:rsid w:val="00C33FCD"/>
    <w:rsid w:val="00C3407A"/>
    <w:rsid w:val="00C34618"/>
    <w:rsid w:val="00C34A26"/>
    <w:rsid w:val="00C34B36"/>
    <w:rsid w:val="00C353E0"/>
    <w:rsid w:val="00C35691"/>
    <w:rsid w:val="00C356BE"/>
    <w:rsid w:val="00C3586B"/>
    <w:rsid w:val="00C358DC"/>
    <w:rsid w:val="00C366AA"/>
    <w:rsid w:val="00C37EEE"/>
    <w:rsid w:val="00C40250"/>
    <w:rsid w:val="00C40278"/>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24"/>
    <w:rsid w:val="00CC276E"/>
    <w:rsid w:val="00CC3320"/>
    <w:rsid w:val="00CC450A"/>
    <w:rsid w:val="00CC47D5"/>
    <w:rsid w:val="00CC646F"/>
    <w:rsid w:val="00CC7350"/>
    <w:rsid w:val="00CD190C"/>
    <w:rsid w:val="00CD2081"/>
    <w:rsid w:val="00CD29F4"/>
    <w:rsid w:val="00CD2CEC"/>
    <w:rsid w:val="00CD3254"/>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5933"/>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4791"/>
    <w:rsid w:val="00D556BA"/>
    <w:rsid w:val="00D55B73"/>
    <w:rsid w:val="00D578B8"/>
    <w:rsid w:val="00D57FC2"/>
    <w:rsid w:val="00D60110"/>
    <w:rsid w:val="00D602E9"/>
    <w:rsid w:val="00D60597"/>
    <w:rsid w:val="00D60F41"/>
    <w:rsid w:val="00D62278"/>
    <w:rsid w:val="00D6275B"/>
    <w:rsid w:val="00D62CD4"/>
    <w:rsid w:val="00D636DB"/>
    <w:rsid w:val="00D63F04"/>
    <w:rsid w:val="00D651B5"/>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949"/>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A34"/>
    <w:rsid w:val="00E22F23"/>
    <w:rsid w:val="00E239C7"/>
    <w:rsid w:val="00E23E54"/>
    <w:rsid w:val="00E24C84"/>
    <w:rsid w:val="00E25B74"/>
    <w:rsid w:val="00E2752B"/>
    <w:rsid w:val="00E275D1"/>
    <w:rsid w:val="00E30A68"/>
    <w:rsid w:val="00E31087"/>
    <w:rsid w:val="00E31754"/>
    <w:rsid w:val="00E320C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6ABA"/>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5EF"/>
    <w:rsid w:val="00ED17C8"/>
    <w:rsid w:val="00ED3695"/>
    <w:rsid w:val="00ED4BD8"/>
    <w:rsid w:val="00ED4FF7"/>
    <w:rsid w:val="00ED6942"/>
    <w:rsid w:val="00ED6F32"/>
    <w:rsid w:val="00ED7A5B"/>
    <w:rsid w:val="00EE09DE"/>
    <w:rsid w:val="00EE0AE4"/>
    <w:rsid w:val="00EE17BB"/>
    <w:rsid w:val="00EE1BD2"/>
    <w:rsid w:val="00EE36F3"/>
    <w:rsid w:val="00EE487C"/>
    <w:rsid w:val="00EE4F35"/>
    <w:rsid w:val="00EE5604"/>
    <w:rsid w:val="00EE579E"/>
    <w:rsid w:val="00EE6798"/>
    <w:rsid w:val="00EE7CF2"/>
    <w:rsid w:val="00EF07A1"/>
    <w:rsid w:val="00EF0988"/>
    <w:rsid w:val="00EF11C5"/>
    <w:rsid w:val="00EF1944"/>
    <w:rsid w:val="00EF280C"/>
    <w:rsid w:val="00EF2C8D"/>
    <w:rsid w:val="00EF3485"/>
    <w:rsid w:val="00EF42A1"/>
    <w:rsid w:val="00EF4A10"/>
    <w:rsid w:val="00EF52A3"/>
    <w:rsid w:val="00EF6050"/>
    <w:rsid w:val="00EF65FA"/>
    <w:rsid w:val="00EF6FCD"/>
    <w:rsid w:val="00EF78D3"/>
    <w:rsid w:val="00F004B2"/>
    <w:rsid w:val="00F0085E"/>
    <w:rsid w:val="00F00F86"/>
    <w:rsid w:val="00F028EB"/>
    <w:rsid w:val="00F02BF3"/>
    <w:rsid w:val="00F03650"/>
    <w:rsid w:val="00F03840"/>
    <w:rsid w:val="00F0499C"/>
    <w:rsid w:val="00F05054"/>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6816"/>
    <w:rsid w:val="00F47485"/>
    <w:rsid w:val="00F4797E"/>
    <w:rsid w:val="00F50129"/>
    <w:rsid w:val="00F5197E"/>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3D76359"/>
    <w:rsid w:val="051D24B5"/>
    <w:rsid w:val="05A23755"/>
    <w:rsid w:val="05EC47E9"/>
    <w:rsid w:val="05F976B8"/>
    <w:rsid w:val="06A87E16"/>
    <w:rsid w:val="07B177A9"/>
    <w:rsid w:val="09105865"/>
    <w:rsid w:val="09200D8A"/>
    <w:rsid w:val="0A203B69"/>
    <w:rsid w:val="0B930DED"/>
    <w:rsid w:val="0B9945CF"/>
    <w:rsid w:val="0EBF6AD4"/>
    <w:rsid w:val="0EFA1BF3"/>
    <w:rsid w:val="0FB14ED7"/>
    <w:rsid w:val="0FF108AF"/>
    <w:rsid w:val="104E608B"/>
    <w:rsid w:val="10945D1E"/>
    <w:rsid w:val="11044CC9"/>
    <w:rsid w:val="1306238B"/>
    <w:rsid w:val="14022D06"/>
    <w:rsid w:val="144D4A01"/>
    <w:rsid w:val="151E2EE4"/>
    <w:rsid w:val="15865C31"/>
    <w:rsid w:val="169E1CA1"/>
    <w:rsid w:val="177B509F"/>
    <w:rsid w:val="17E65AD4"/>
    <w:rsid w:val="180C5FC0"/>
    <w:rsid w:val="18712A1C"/>
    <w:rsid w:val="18BE0DC4"/>
    <w:rsid w:val="18EC18D4"/>
    <w:rsid w:val="191D0C8F"/>
    <w:rsid w:val="1956631E"/>
    <w:rsid w:val="197E3C27"/>
    <w:rsid w:val="1B357697"/>
    <w:rsid w:val="1C9B3C2A"/>
    <w:rsid w:val="1D515D67"/>
    <w:rsid w:val="1DB06C23"/>
    <w:rsid w:val="1E68798E"/>
    <w:rsid w:val="1E776630"/>
    <w:rsid w:val="1ECF53BC"/>
    <w:rsid w:val="1F6D06CA"/>
    <w:rsid w:val="1FDB39D1"/>
    <w:rsid w:val="201B1B41"/>
    <w:rsid w:val="203E7807"/>
    <w:rsid w:val="209E722A"/>
    <w:rsid w:val="20F625AB"/>
    <w:rsid w:val="211A3D84"/>
    <w:rsid w:val="21A76A56"/>
    <w:rsid w:val="21BD3780"/>
    <w:rsid w:val="22175475"/>
    <w:rsid w:val="229D5EF7"/>
    <w:rsid w:val="22AC170A"/>
    <w:rsid w:val="22D35FE8"/>
    <w:rsid w:val="22F724C9"/>
    <w:rsid w:val="238D5D64"/>
    <w:rsid w:val="24973B42"/>
    <w:rsid w:val="24AC5F37"/>
    <w:rsid w:val="24F51537"/>
    <w:rsid w:val="25721BBC"/>
    <w:rsid w:val="257866F6"/>
    <w:rsid w:val="26547C37"/>
    <w:rsid w:val="266576B9"/>
    <w:rsid w:val="269467EE"/>
    <w:rsid w:val="278B0759"/>
    <w:rsid w:val="278D0583"/>
    <w:rsid w:val="27B7639D"/>
    <w:rsid w:val="28987B19"/>
    <w:rsid w:val="28F11D62"/>
    <w:rsid w:val="28FD4B3A"/>
    <w:rsid w:val="29473EA7"/>
    <w:rsid w:val="2A794ED4"/>
    <w:rsid w:val="2A7D0256"/>
    <w:rsid w:val="2F1350C2"/>
    <w:rsid w:val="31460249"/>
    <w:rsid w:val="31486CB6"/>
    <w:rsid w:val="31E93113"/>
    <w:rsid w:val="331D76B5"/>
    <w:rsid w:val="334F2145"/>
    <w:rsid w:val="33A477F9"/>
    <w:rsid w:val="356132C1"/>
    <w:rsid w:val="35AD3837"/>
    <w:rsid w:val="36BB7403"/>
    <w:rsid w:val="373C679D"/>
    <w:rsid w:val="378250FD"/>
    <w:rsid w:val="379002CD"/>
    <w:rsid w:val="38346513"/>
    <w:rsid w:val="38962741"/>
    <w:rsid w:val="394E78B8"/>
    <w:rsid w:val="39B060EE"/>
    <w:rsid w:val="39EB69BD"/>
    <w:rsid w:val="3A022924"/>
    <w:rsid w:val="3C4C60A1"/>
    <w:rsid w:val="3F4936EC"/>
    <w:rsid w:val="40B0077C"/>
    <w:rsid w:val="40E203E1"/>
    <w:rsid w:val="416D4C4F"/>
    <w:rsid w:val="424A3E13"/>
    <w:rsid w:val="44804741"/>
    <w:rsid w:val="44A7198E"/>
    <w:rsid w:val="451461CB"/>
    <w:rsid w:val="462B12AA"/>
    <w:rsid w:val="46975288"/>
    <w:rsid w:val="474579A2"/>
    <w:rsid w:val="47504763"/>
    <w:rsid w:val="47F50455"/>
    <w:rsid w:val="49B62A2D"/>
    <w:rsid w:val="4A26214A"/>
    <w:rsid w:val="4BC55237"/>
    <w:rsid w:val="4C7B400D"/>
    <w:rsid w:val="4E9A3D51"/>
    <w:rsid w:val="4EB2576A"/>
    <w:rsid w:val="4ED404F0"/>
    <w:rsid w:val="4EFE63C1"/>
    <w:rsid w:val="502A0BA4"/>
    <w:rsid w:val="505A0646"/>
    <w:rsid w:val="50BF2B1D"/>
    <w:rsid w:val="51633E91"/>
    <w:rsid w:val="516537F9"/>
    <w:rsid w:val="52DC6817"/>
    <w:rsid w:val="54F6223E"/>
    <w:rsid w:val="551D00B0"/>
    <w:rsid w:val="551D3722"/>
    <w:rsid w:val="56714458"/>
    <w:rsid w:val="5804171A"/>
    <w:rsid w:val="583652C3"/>
    <w:rsid w:val="58A1135E"/>
    <w:rsid w:val="59C64891"/>
    <w:rsid w:val="5A013232"/>
    <w:rsid w:val="5A0874EB"/>
    <w:rsid w:val="5A61754E"/>
    <w:rsid w:val="5A7E2B69"/>
    <w:rsid w:val="5BA45504"/>
    <w:rsid w:val="5D6764F8"/>
    <w:rsid w:val="5E1F5497"/>
    <w:rsid w:val="601157F7"/>
    <w:rsid w:val="608C58C4"/>
    <w:rsid w:val="61580DB8"/>
    <w:rsid w:val="617F2B6B"/>
    <w:rsid w:val="62E7519F"/>
    <w:rsid w:val="65501312"/>
    <w:rsid w:val="656B6C95"/>
    <w:rsid w:val="662B7491"/>
    <w:rsid w:val="667B5D5E"/>
    <w:rsid w:val="686A4F78"/>
    <w:rsid w:val="6C3F0F7A"/>
    <w:rsid w:val="6C5D75D9"/>
    <w:rsid w:val="6CB56E3D"/>
    <w:rsid w:val="6CDD7B53"/>
    <w:rsid w:val="6EDE5ED2"/>
    <w:rsid w:val="6F1E340E"/>
    <w:rsid w:val="6F361E5D"/>
    <w:rsid w:val="6F72448A"/>
    <w:rsid w:val="6F7A1181"/>
    <w:rsid w:val="6F865FDD"/>
    <w:rsid w:val="700B7B70"/>
    <w:rsid w:val="701449B5"/>
    <w:rsid w:val="709421FD"/>
    <w:rsid w:val="71063221"/>
    <w:rsid w:val="71110CD2"/>
    <w:rsid w:val="71170732"/>
    <w:rsid w:val="711B380F"/>
    <w:rsid w:val="72117D13"/>
    <w:rsid w:val="726F364C"/>
    <w:rsid w:val="737C538B"/>
    <w:rsid w:val="740D0AA0"/>
    <w:rsid w:val="749341C9"/>
    <w:rsid w:val="757D0E48"/>
    <w:rsid w:val="76DE1650"/>
    <w:rsid w:val="79733705"/>
    <w:rsid w:val="79AF737D"/>
    <w:rsid w:val="7AC751AE"/>
    <w:rsid w:val="7BF42A8E"/>
    <w:rsid w:val="7CA119E4"/>
    <w:rsid w:val="7D5B566D"/>
    <w:rsid w:val="7DA37790"/>
    <w:rsid w:val="7DAB585C"/>
    <w:rsid w:val="7F744840"/>
    <w:rsid w:val="7F9B3529"/>
    <w:rsid w:val="7FA5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3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semiHidden/>
    <w:unhideWhenUsed/>
    <w:qFormat/>
    <w:uiPriority w:val="0"/>
    <w:rPr>
      <w:rFonts w:eastAsia="宋体"/>
      <w:b/>
      <w:bCs/>
      <w:kern w:val="2"/>
      <w:sz w:val="30"/>
      <w:szCs w:val="24"/>
    </w:rPr>
  </w:style>
  <w:style w:type="paragraph" w:styleId="3">
    <w:name w:val="index 5"/>
    <w:basedOn w:val="1"/>
    <w:next w:val="1"/>
    <w:qFormat/>
    <w:uiPriority w:val="0"/>
    <w:pPr>
      <w:ind w:left="1680"/>
    </w:pPr>
    <w:rPr>
      <w:rFonts w:ascii="黑体" w:eastAsia="黑体"/>
      <w:sz w:val="32"/>
      <w:szCs w:val="32"/>
    </w:rPr>
  </w:style>
  <w:style w:type="paragraph" w:styleId="4">
    <w:name w:val="Plain Text"/>
    <w:basedOn w:val="1"/>
    <w:link w:val="17"/>
    <w:unhideWhenUsed/>
    <w:qFormat/>
    <w:uiPriority w:val="0"/>
    <w:rPr>
      <w:rFonts w:ascii="宋体" w:hAnsi="Courier New" w:eastAsia="宋体" w:cs="Courier New"/>
      <w:kern w:val="2"/>
      <w:sz w:val="21"/>
      <w:szCs w:val="21"/>
    </w:rPr>
  </w:style>
  <w:style w:type="paragraph" w:styleId="5">
    <w:name w:val="Date"/>
    <w:basedOn w:val="1"/>
    <w:next w:val="1"/>
    <w:link w:val="16"/>
    <w:semiHidden/>
    <w:unhideWhenUsed/>
    <w:qFormat/>
    <w:uiPriority w:val="0"/>
    <w:pPr>
      <w:ind w:left="100" w:leftChars="2500"/>
    </w:pPr>
    <w:rPr>
      <w:rFonts w:eastAsia="宋体"/>
      <w:kern w:val="2"/>
      <w:sz w:val="21"/>
      <w:szCs w:val="24"/>
    </w:rPr>
  </w:style>
  <w:style w:type="paragraph" w:styleId="6">
    <w:name w:val="Balloon Text"/>
    <w:basedOn w:val="1"/>
    <w:link w:val="18"/>
    <w:semiHidden/>
    <w:unhideWhenUsed/>
    <w:qFormat/>
    <w:uiPriority w:val="0"/>
    <w:rPr>
      <w:sz w:val="18"/>
      <w:szCs w:val="18"/>
    </w:rPr>
  </w:style>
  <w:style w:type="paragraph" w:styleId="7">
    <w:name w:val="footer"/>
    <w:basedOn w:val="1"/>
    <w:link w:val="14"/>
    <w:semiHidden/>
    <w:unhideWhenUsed/>
    <w:qFormat/>
    <w:uiPriority w:val="0"/>
    <w:pPr>
      <w:tabs>
        <w:tab w:val="center" w:pos="4153"/>
        <w:tab w:val="right" w:pos="8306"/>
      </w:tabs>
      <w:snapToGrid w:val="0"/>
      <w:jc w:val="left"/>
    </w:pPr>
    <w:rPr>
      <w:sz w:val="18"/>
      <w:szCs w:val="18"/>
    </w:rPr>
  </w:style>
  <w:style w:type="paragraph" w:styleId="8">
    <w:name w:val="header"/>
    <w:basedOn w:val="1"/>
    <w:link w:val="13"/>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widowControl/>
      <w:spacing w:before="100" w:beforeAutospacing="1" w:after="100" w:afterAutospacing="1"/>
      <w:jc w:val="left"/>
    </w:pPr>
    <w:rPr>
      <w:rFonts w:ascii="宋体" w:hAnsi="宋体" w:eastAsia="宋体" w:cs="宋体"/>
      <w:sz w:val="24"/>
      <w:szCs w:val="24"/>
    </w:rPr>
  </w:style>
  <w:style w:type="table" w:styleId="11">
    <w:name w:val="Table Grid"/>
    <w:basedOn w:val="10"/>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0"/>
    <w:rPr>
      <w:rFonts w:ascii="Times New Roman" w:hAnsi="Times New Roman" w:eastAsia="仿宋_GB2312" w:cs="Times New Roman"/>
      <w:kern w:val="0"/>
      <w:sz w:val="18"/>
      <w:szCs w:val="18"/>
    </w:rPr>
  </w:style>
  <w:style w:type="character" w:customStyle="1" w:styleId="14">
    <w:name w:val="页脚 Char"/>
    <w:basedOn w:val="12"/>
    <w:link w:val="7"/>
    <w:semiHidden/>
    <w:qFormat/>
    <w:uiPriority w:val="0"/>
    <w:rPr>
      <w:rFonts w:ascii="Times New Roman" w:hAnsi="Times New Roman" w:eastAsia="仿宋_GB2312" w:cs="Times New Roman"/>
      <w:kern w:val="0"/>
      <w:sz w:val="18"/>
      <w:szCs w:val="18"/>
    </w:rPr>
  </w:style>
  <w:style w:type="character" w:customStyle="1" w:styleId="15">
    <w:name w:val="正文文本 Char"/>
    <w:basedOn w:val="12"/>
    <w:link w:val="2"/>
    <w:semiHidden/>
    <w:qFormat/>
    <w:uiPriority w:val="0"/>
    <w:rPr>
      <w:rFonts w:ascii="Times New Roman" w:hAnsi="Times New Roman" w:eastAsia="宋体" w:cs="Times New Roman"/>
      <w:b/>
      <w:bCs/>
      <w:sz w:val="30"/>
      <w:szCs w:val="24"/>
    </w:rPr>
  </w:style>
  <w:style w:type="character" w:customStyle="1" w:styleId="16">
    <w:name w:val="日期 Char"/>
    <w:basedOn w:val="12"/>
    <w:link w:val="5"/>
    <w:semiHidden/>
    <w:qFormat/>
    <w:uiPriority w:val="0"/>
    <w:rPr>
      <w:rFonts w:ascii="Times New Roman" w:hAnsi="Times New Roman" w:eastAsia="宋体" w:cs="Times New Roman"/>
      <w:szCs w:val="24"/>
    </w:rPr>
  </w:style>
  <w:style w:type="character" w:customStyle="1" w:styleId="17">
    <w:name w:val="纯文本 Char"/>
    <w:basedOn w:val="12"/>
    <w:link w:val="4"/>
    <w:semiHidden/>
    <w:qFormat/>
    <w:uiPriority w:val="0"/>
    <w:rPr>
      <w:rFonts w:ascii="宋体" w:hAnsi="Courier New" w:eastAsia="宋体" w:cs="Courier New"/>
      <w:szCs w:val="21"/>
    </w:rPr>
  </w:style>
  <w:style w:type="character" w:customStyle="1" w:styleId="18">
    <w:name w:val="批注框文本 Char"/>
    <w:basedOn w:val="12"/>
    <w:link w:val="6"/>
    <w:semiHidden/>
    <w:qFormat/>
    <w:uiPriority w:val="0"/>
    <w:rPr>
      <w:rFonts w:ascii="Times New Roman" w:hAnsi="Times New Roman" w:eastAsia="仿宋_GB2312" w:cs="Times New Roman"/>
      <w:kern w:val="0"/>
      <w:sz w:val="18"/>
      <w:szCs w:val="18"/>
    </w:rPr>
  </w:style>
  <w:style w:type="paragraph" w:customStyle="1" w:styleId="19">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20">
    <w:name w:val="默认段落字体 Para Char Char Char Char Char Char Char"/>
    <w:basedOn w:val="1"/>
    <w:qFormat/>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收支对比图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215.74</c:v>
                </c:pt>
                <c:pt idx="1">
                  <c:v>215.55</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120.39</c:v>
                </c:pt>
                <c:pt idx="1">
                  <c:v>120.58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84296320"/>
        <c:axId val="328863104"/>
      </c:barChart>
      <c:catAx>
        <c:axId val="2842963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863104"/>
        <c:crosses val="autoZero"/>
        <c:auto val="1"/>
        <c:lblAlgn val="ctr"/>
        <c:lblOffset val="100"/>
        <c:noMultiLvlLbl val="0"/>
      </c:catAx>
      <c:valAx>
        <c:axId val="328863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296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2"/>
                <c:pt idx="0">
                  <c:v>农林水支出</c:v>
                </c:pt>
                <c:pt idx="1">
                  <c:v>年初结余和结转</c:v>
                </c:pt>
              </c:strCache>
            </c:strRef>
          </c:cat>
          <c:val>
            <c:numRef>
              <c:f>Sheet1!$B$2:$B$4</c:f>
              <c:numCache>
                <c:formatCode>General</c:formatCode>
                <c:ptCount val="3"/>
                <c:pt idx="0">
                  <c:v>120.39</c:v>
                </c:pt>
                <c:pt idx="1">
                  <c:v>0.19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116.41</c:v>
                </c:pt>
                <c:pt idx="1">
                  <c:v>4.17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财政拨款支出对比图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基本支出-农林水支出</c:v>
                </c:pt>
                <c:pt idx="1">
                  <c:v>项目支出-旅游基础设施建设项目</c:v>
                </c:pt>
              </c:strCache>
            </c:strRef>
          </c:cat>
          <c:val>
            <c:numRef>
              <c:f>Sheet1!$B$2:$B$3</c:f>
              <c:numCache>
                <c:formatCode>General</c:formatCode>
                <c:ptCount val="2"/>
                <c:pt idx="0">
                  <c:v>116.41</c:v>
                </c:pt>
                <c:pt idx="1">
                  <c:v>4.17</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2D26E-0A9A-4FB4-8F76-3DB4B1A8B2D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1715</Words>
  <Characters>9776</Characters>
  <Lines>81</Lines>
  <Paragraphs>22</Paragraphs>
  <TotalTime>323</TotalTime>
  <ScaleCrop>false</ScaleCrop>
  <LinksUpToDate>false</LinksUpToDate>
  <CharactersWithSpaces>11469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2020-09-03T01:32:00Z</dcterms:created>
  <dc:creator>江瑞</dc:creator>
  <cp:lastModifiedBy>九步皆爱</cp:lastModifiedBy>
  <dcterms:modified xsi:type="dcterms:W3CDTF">2021-09-18T07:32:52Z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