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镇安县信访局</w:t>
      </w:r>
    </w:p>
    <w:p>
      <w:pPr>
        <w:jc w:val="center"/>
        <w:rPr>
          <w:rFonts w:ascii="方正小标宋简体" w:hAnsi="方正小标宋简体" w:eastAsia="方正小标宋简体" w:cs="方正小标宋简体"/>
          <w:sz w:val="60"/>
          <w:szCs w:val="60"/>
        </w:rPr>
      </w:pPr>
      <w:r>
        <w:rPr>
          <w:rFonts w:hint="eastAsia" w:ascii="方正小标宋简体" w:hAnsi="方正小标宋简体" w:eastAsia="方正小标宋简体" w:cs="方正小标宋简体"/>
          <w:sz w:val="60"/>
          <w:szCs w:val="60"/>
        </w:rPr>
        <w:t>2020年部门决算</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sz w:val="32"/>
          <w:szCs w:val="32"/>
        </w:rPr>
      </w:pPr>
    </w:p>
    <w:p>
      <w:pPr>
        <w:jc w:val="left"/>
        <w:rPr>
          <w:sz w:val="32"/>
          <w:szCs w:val="32"/>
        </w:rPr>
      </w:pPr>
    </w:p>
    <w:p>
      <w:pPr>
        <w:ind w:firstLine="1600" w:firstLineChars="500"/>
        <w:jc w:val="left"/>
        <w:rPr>
          <w:rFonts w:hint="eastAsia" w:ascii="黑体" w:hAnsi="黑体" w:eastAsia="黑体" w:cs="黑体"/>
          <w:sz w:val="32"/>
          <w:szCs w:val="32"/>
        </w:rPr>
      </w:pPr>
      <w:r>
        <w:rPr>
          <w:rFonts w:hint="eastAsia" w:ascii="黑体" w:hAnsi="黑体" w:eastAsia="黑体" w:cs="黑体"/>
          <w:sz w:val="32"/>
          <w:szCs w:val="32"/>
        </w:rPr>
        <w:t>保密审查情况：已审查</w:t>
      </w:r>
    </w:p>
    <w:p>
      <w:pPr>
        <w:ind w:firstLine="1600" w:firstLineChars="500"/>
        <w:jc w:val="left"/>
        <w:rPr>
          <w:rFonts w:hint="eastAsia" w:ascii="黑体" w:hAnsi="黑体" w:eastAsia="黑体" w:cs="黑体"/>
          <w:sz w:val="32"/>
          <w:szCs w:val="32"/>
        </w:rPr>
      </w:pPr>
      <w:r>
        <w:rPr>
          <w:rFonts w:hint="eastAsia" w:ascii="黑体" w:hAnsi="黑体" w:eastAsia="黑体" w:cs="黑体"/>
          <w:sz w:val="32"/>
          <w:szCs w:val="32"/>
        </w:rPr>
        <w:t>部门主要负责人审签情况：已审签</w:t>
      </w:r>
    </w:p>
    <w:p>
      <w:pPr>
        <w:ind w:firstLine="1600" w:firstLineChars="500"/>
        <w:jc w:val="left"/>
        <w:rPr>
          <w:rFonts w:hint="eastAsia" w:ascii="宋体" w:hAnsi="宋体"/>
          <w:sz w:val="32"/>
          <w:szCs w:val="32"/>
        </w:rPr>
      </w:pPr>
    </w:p>
    <w:p>
      <w:pPr>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br w:type="page"/>
      </w: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spacing w:before="156" w:beforeLines="50" w:after="156" w:afterLines="50"/>
        <w:jc w:val="center"/>
        <w:rPr>
          <w:rFonts w:ascii="黑体" w:hAnsi="黑体" w:eastAsia="黑体" w:cs="黑体"/>
          <w:sz w:val="32"/>
          <w:szCs w:val="32"/>
        </w:rPr>
      </w:pPr>
    </w:p>
    <w:p>
      <w:pPr>
        <w:jc w:val="center"/>
        <w:rPr>
          <w:rFonts w:ascii="方正小标宋简体" w:hAnsi="方正小标宋简体" w:eastAsia="方正小标宋简体" w:cs="方正小标宋简体"/>
          <w:sz w:val="40"/>
          <w:szCs w:val="40"/>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40"/>
          <w:szCs w:val="40"/>
        </w:rPr>
        <w:t>第一部分  部门概况</w:t>
      </w:r>
    </w:p>
    <w:p>
      <w:pPr>
        <w:spacing w:line="40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1.县信访局主要职能是贯彻党和国家关于信访工作的方针、政策、规定和《信访条例》，分析、研究、调查、汇报信访资料，为领导提供决策依据；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2.负责处理群众网投、来信、来电、来访；交办督办各类信访事项的处理和落实；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3.承担县信访联席会议的日常工作；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4..维护党和国家各级重大政治活动的信访稳定；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5.协调指导全县信访工作等工作职能。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根据上述职责，本部门2020年内设5个部室（包括：办公室、接待股、</w:t>
      </w:r>
      <w:r>
        <w:rPr>
          <w:rFonts w:hint="eastAsia" w:ascii="仿宋_GB2312" w:hAnsi="仿宋_GB2312" w:cs="仿宋_GB2312"/>
          <w:sz w:val="32"/>
          <w:szCs w:val="32"/>
        </w:rPr>
        <w:t>办</w:t>
      </w:r>
      <w:r>
        <w:rPr>
          <w:rFonts w:hint="eastAsia" w:ascii="仿宋_GB2312" w:hAnsi="仿宋_GB2312" w:eastAsia="仿宋_GB2312" w:cs="仿宋_GB2312"/>
          <w:sz w:val="32"/>
          <w:szCs w:val="32"/>
        </w:rPr>
        <w:t>案股、督查股、投诉中心、信息调研股）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纳入2020年本部门决算编制范围的单位共1个，包括本级所属0个二级预算单位：</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黑体" w:hAnsi="黑体" w:eastAsia="黑体" w:cs="黑体"/>
                <w:sz w:val="28"/>
                <w:szCs w:val="28"/>
              </w:rPr>
            </w:pPr>
            <w:r>
              <w:rPr>
                <w:rFonts w:hint="eastAsia" w:ascii="黑体" w:hAnsi="黑体" w:eastAsia="黑体" w:cs="黑体"/>
                <w:sz w:val="28"/>
                <w:szCs w:val="28"/>
              </w:rPr>
              <w:t>序号</w:t>
            </w:r>
          </w:p>
        </w:tc>
        <w:tc>
          <w:tcPr>
            <w:tcW w:w="5803"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803" w:type="dxa"/>
            <w:vAlign w:val="center"/>
          </w:tcPr>
          <w:p>
            <w:pPr>
              <w:keepNext w:val="0"/>
              <w:keepLines w:val="0"/>
              <w:pageBreakBefore w:val="0"/>
              <w:widowControl w:val="0"/>
              <w:kinsoku/>
              <w:wordWrap/>
              <w:overflowPunct/>
              <w:topLinePunct w:val="0"/>
              <w:autoSpaceDE/>
              <w:autoSpaceDN/>
              <w:bidi w:val="0"/>
              <w:adjustRightInd/>
              <w:snapToGrid/>
              <w:ind w:firstLine="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镇安县信访局机关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803" w:type="dxa"/>
            <w:vAlign w:val="center"/>
          </w:tcPr>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截止2020年底，本部门人员编制9人，其中行政编制9人、事业编制0人；</w:t>
      </w:r>
      <w:r>
        <w:rPr>
          <w:rFonts w:hint="eastAsia" w:ascii="仿宋_GB2312" w:hAnsi="仿宋_GB2312" w:eastAsia="仿宋_GB2312" w:cs="仿宋_GB2312"/>
          <w:color w:val="000000" w:themeColor="text1"/>
          <w:sz w:val="32"/>
          <w:szCs w:val="32"/>
          <w14:textFill>
            <w14:solidFill>
              <w14:schemeClr w14:val="tx1"/>
            </w14:solidFill>
          </w14:textFill>
        </w:rPr>
        <w:t>实有人员28人，其中行政25人、事业3人</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单位管理的离退休人员0人，其中：离休人员0人。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325755</wp:posOffset>
            </wp:positionH>
            <wp:positionV relativeFrom="paragraph">
              <wp:posOffset>15240</wp:posOffset>
            </wp:positionV>
            <wp:extent cx="5090160" cy="2217420"/>
            <wp:effectExtent l="0" t="0" r="15240" b="11430"/>
            <wp:wrapNone/>
            <wp:docPr id="9" name="图表 9" descr="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871"/>
        <w:gridCol w:w="139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序 号</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5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1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无政府性基金预算拨款收支项目</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36"/>
          <w:szCs w:val="36"/>
        </w:rPr>
      </w:pP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992"/>
        <w:gridCol w:w="3402"/>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794.35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794.35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20.51</w:t>
            </w: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795.77</w:t>
            </w:r>
          </w:p>
        </w:tc>
        <w:tc>
          <w:tcPr>
            <w:tcW w:w="340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795.77</w:t>
            </w: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9456"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548"/>
        <w:gridCol w:w="985"/>
        <w:gridCol w:w="1009"/>
        <w:gridCol w:w="834"/>
        <w:gridCol w:w="549"/>
        <w:gridCol w:w="1059"/>
        <w:gridCol w:w="670"/>
        <w:gridCol w:w="685"/>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886"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985"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1009"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834"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608"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670"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685"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779"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3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54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85"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09"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34"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670"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685"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79"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886"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775.26</w:t>
            </w:r>
          </w:p>
        </w:tc>
        <w:tc>
          <w:tcPr>
            <w:tcW w:w="10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t>775.26</w:t>
            </w:r>
          </w:p>
        </w:tc>
        <w:tc>
          <w:tcPr>
            <w:tcW w:w="83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67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6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7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3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54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10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83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7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3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154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9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10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83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7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3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154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468.52</w:t>
            </w:r>
          </w:p>
        </w:tc>
        <w:tc>
          <w:tcPr>
            <w:tcW w:w="10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468.52</w:t>
            </w:r>
          </w:p>
        </w:tc>
        <w:tc>
          <w:tcPr>
            <w:tcW w:w="83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7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2010308</w:t>
            </w:r>
          </w:p>
        </w:tc>
        <w:tc>
          <w:tcPr>
            <w:tcW w:w="154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信访事务</w:t>
            </w:r>
          </w:p>
        </w:tc>
        <w:tc>
          <w:tcPr>
            <w:tcW w:w="9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306.73</w:t>
            </w:r>
          </w:p>
        </w:tc>
        <w:tc>
          <w:tcPr>
            <w:tcW w:w="10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306.73</w:t>
            </w:r>
          </w:p>
        </w:tc>
        <w:tc>
          <w:tcPr>
            <w:tcW w:w="83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4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7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68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7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910"/>
        <w:gridCol w:w="1008"/>
        <w:gridCol w:w="1103"/>
        <w:gridCol w:w="1193"/>
        <w:gridCol w:w="732"/>
        <w:gridCol w:w="73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86"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103"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93"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732"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732"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经营支出</w:t>
            </w:r>
          </w:p>
        </w:tc>
        <w:tc>
          <w:tcPr>
            <w:tcW w:w="967"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08"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03"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93"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32"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32"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6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286"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480.64</w:t>
            </w: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313.71</w:t>
            </w: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480.64</w:t>
            </w: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313.71</w:t>
            </w: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480.64</w:t>
            </w: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313.71</w:t>
            </w: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480.64</w:t>
            </w: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480.64</w:t>
            </w: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2010308</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信访事务</w:t>
            </w: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313.71</w:t>
            </w: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313.71</w:t>
            </w: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7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w:t>
            </w:r>
          </w:p>
        </w:tc>
        <w:tc>
          <w:tcPr>
            <w:tcW w:w="191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0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9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73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6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220"/>
        <w:gridCol w:w="1920"/>
        <w:gridCol w:w="1260"/>
        <w:gridCol w:w="129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049"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895" w:type="dxa"/>
            <w:gridSpan w:val="4"/>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775.26</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794.35</w:t>
            </w: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20.51</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w:t>
            </w: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1.42</w:t>
            </w: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20.51</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82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12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795.77</w:t>
            </w:r>
          </w:p>
        </w:tc>
        <w:tc>
          <w:tcPr>
            <w:tcW w:w="192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26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795.77</w:t>
            </w:r>
          </w:p>
        </w:tc>
        <w:tc>
          <w:tcPr>
            <w:tcW w:w="129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795.77</w:t>
            </w:r>
          </w:p>
        </w:tc>
        <w:tc>
          <w:tcPr>
            <w:tcW w:w="142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083"/>
        <w:gridCol w:w="947"/>
        <w:gridCol w:w="991"/>
        <w:gridCol w:w="859"/>
        <w:gridCol w:w="980"/>
        <w:gridCol w:w="1108"/>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638"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47"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2830" w:type="dxa"/>
            <w:gridSpan w:val="3"/>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08"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714"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208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4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人员</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公用</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经费</w:t>
            </w:r>
          </w:p>
        </w:tc>
        <w:tc>
          <w:tcPr>
            <w:tcW w:w="1108"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14"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638"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794.35</w:t>
            </w: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480.64</w:t>
            </w: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259.30</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221.34</w:t>
            </w:r>
          </w:p>
        </w:tc>
        <w:tc>
          <w:tcPr>
            <w:tcW w:w="11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313.71</w:t>
            </w:r>
          </w:p>
        </w:tc>
        <w:tc>
          <w:tcPr>
            <w:tcW w:w="71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208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9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794.35</w:t>
            </w: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480.64</w:t>
            </w: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259.30</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221.34</w:t>
            </w:r>
          </w:p>
        </w:tc>
        <w:tc>
          <w:tcPr>
            <w:tcW w:w="11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313.71</w:t>
            </w:r>
          </w:p>
        </w:tc>
        <w:tc>
          <w:tcPr>
            <w:tcW w:w="71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w:t>
            </w:r>
          </w:p>
        </w:tc>
        <w:tc>
          <w:tcPr>
            <w:tcW w:w="208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政府办公厅（室）及相关机构事务</w:t>
            </w:r>
          </w:p>
        </w:tc>
        <w:tc>
          <w:tcPr>
            <w:tcW w:w="9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794.35</w:t>
            </w: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480.64</w:t>
            </w: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259.30</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221.34</w:t>
            </w:r>
          </w:p>
        </w:tc>
        <w:tc>
          <w:tcPr>
            <w:tcW w:w="11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313.71</w:t>
            </w:r>
          </w:p>
        </w:tc>
        <w:tc>
          <w:tcPr>
            <w:tcW w:w="71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w:t>
            </w:r>
          </w:p>
        </w:tc>
        <w:tc>
          <w:tcPr>
            <w:tcW w:w="208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9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480.64</w:t>
            </w: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480.64</w:t>
            </w: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259.30</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221.34</w:t>
            </w:r>
          </w:p>
        </w:tc>
        <w:tc>
          <w:tcPr>
            <w:tcW w:w="11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71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5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201030108</w:t>
            </w:r>
          </w:p>
        </w:tc>
        <w:tc>
          <w:tcPr>
            <w:tcW w:w="2083"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信访事务</w:t>
            </w:r>
          </w:p>
        </w:tc>
        <w:tc>
          <w:tcPr>
            <w:tcW w:w="94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313.71</w:t>
            </w:r>
          </w:p>
        </w:tc>
        <w:tc>
          <w:tcPr>
            <w:tcW w:w="991"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85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0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313.71</w:t>
            </w:r>
          </w:p>
        </w:tc>
        <w:tc>
          <w:tcPr>
            <w:tcW w:w="71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030"/>
        <w:gridCol w:w="980"/>
        <w:gridCol w:w="1216"/>
        <w:gridCol w:w="13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24"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80"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216"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316"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916"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980"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216"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316"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16"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24"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fldChar w:fldCharType="begin"/>
            </w:r>
            <w:r>
              <w:rPr>
                <w:rFonts w:hint="eastAsia" w:ascii="宋体" w:hAnsi="宋体" w:eastAsia="宋体" w:cs="宋体"/>
                <w:bCs/>
                <w:sz w:val="20"/>
                <w:szCs w:val="20"/>
              </w:rPr>
              <w:instrText xml:space="preserve"> = sum(C3:D3) \* MERGEFORMAT </w:instrText>
            </w:r>
            <w:r>
              <w:rPr>
                <w:rFonts w:hint="eastAsia" w:ascii="宋体" w:hAnsi="宋体" w:eastAsia="宋体" w:cs="宋体"/>
                <w:bCs/>
                <w:sz w:val="20"/>
                <w:szCs w:val="20"/>
              </w:rPr>
              <w:fldChar w:fldCharType="separate"/>
            </w:r>
            <w:r>
              <w:rPr>
                <w:rFonts w:hint="eastAsia" w:ascii="宋体" w:hAnsi="宋体" w:eastAsia="宋体" w:cs="宋体"/>
                <w:bCs/>
                <w:sz w:val="20"/>
                <w:szCs w:val="20"/>
              </w:rPr>
              <w:t>480.64</w:t>
            </w:r>
            <w:r>
              <w:rPr>
                <w:rFonts w:hint="eastAsia" w:ascii="宋体" w:hAnsi="宋体" w:eastAsia="宋体" w:cs="宋体"/>
                <w:bCs/>
                <w:sz w:val="20"/>
                <w:szCs w:val="20"/>
              </w:rPr>
              <w:fldChar w:fldCharType="end"/>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sum(D5:D9)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259.3</w:t>
            </w:r>
            <w:r>
              <w:rPr>
                <w:rFonts w:hint="eastAsia" w:ascii="宋体" w:hAnsi="宋体" w:eastAsia="宋体" w:cs="宋体"/>
                <w:sz w:val="20"/>
                <w:szCs w:val="20"/>
              </w:rPr>
              <w:fldChar w:fldCharType="end"/>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sum(E12:E22)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221.34</w:t>
            </w:r>
            <w:r>
              <w:rPr>
                <w:rFonts w:hint="eastAsia" w:ascii="宋体" w:hAnsi="宋体" w:eastAsia="宋体" w:cs="宋体"/>
                <w:sz w:val="20"/>
                <w:szCs w:val="20"/>
              </w:rPr>
              <w:fldChar w:fldCharType="end"/>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sum(D5:D9)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259.3</w:t>
            </w:r>
            <w:r>
              <w:rPr>
                <w:rFonts w:hint="eastAsia" w:ascii="宋体" w:hAnsi="宋体" w:eastAsia="宋体" w:cs="宋体"/>
                <w:sz w:val="20"/>
                <w:szCs w:val="20"/>
              </w:rPr>
              <w:fldChar w:fldCharType="end"/>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sum(D5:D9)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259.3</w:t>
            </w:r>
            <w:r>
              <w:rPr>
                <w:rFonts w:hint="eastAsia" w:ascii="宋体" w:hAnsi="宋体" w:eastAsia="宋体" w:cs="宋体"/>
                <w:sz w:val="20"/>
                <w:szCs w:val="20"/>
              </w:rPr>
              <w:fldChar w:fldCharType="end"/>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94.81</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94.81</w:t>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70.2</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70.2</w:t>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27.08</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27.08</w:t>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机关事业单位基本养老保险缴费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32.48</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32.48</w:t>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30112</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34.73</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34.73</w:t>
            </w: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sum(E12:E22)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221.34</w:t>
            </w:r>
            <w:r>
              <w:rPr>
                <w:rFonts w:hint="eastAsia" w:ascii="宋体" w:hAnsi="宋体" w:eastAsia="宋体" w:cs="宋体"/>
                <w:sz w:val="20"/>
                <w:szCs w:val="20"/>
              </w:rPr>
              <w:fldChar w:fldCharType="end"/>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fldChar w:fldCharType="begin"/>
            </w:r>
            <w:r>
              <w:rPr>
                <w:rFonts w:hint="eastAsia" w:ascii="宋体" w:hAnsi="宋体" w:eastAsia="宋体" w:cs="宋体"/>
                <w:sz w:val="20"/>
                <w:szCs w:val="20"/>
              </w:rPr>
              <w:instrText xml:space="preserve"> = sum(E12:E22) \* MERGEFORMAT </w:instrText>
            </w:r>
            <w:r>
              <w:rPr>
                <w:rFonts w:hint="eastAsia" w:ascii="宋体" w:hAnsi="宋体" w:eastAsia="宋体" w:cs="宋体"/>
                <w:sz w:val="20"/>
                <w:szCs w:val="20"/>
              </w:rPr>
              <w:fldChar w:fldCharType="separate"/>
            </w:r>
            <w:r>
              <w:rPr>
                <w:rFonts w:hint="eastAsia" w:ascii="宋体" w:hAnsi="宋体" w:eastAsia="宋体" w:cs="宋体"/>
                <w:sz w:val="20"/>
                <w:szCs w:val="20"/>
              </w:rPr>
              <w:t>221.34</w:t>
            </w:r>
            <w:r>
              <w:rPr>
                <w:rFonts w:hint="eastAsia" w:ascii="宋体" w:hAnsi="宋体" w:eastAsia="宋体" w:cs="宋体"/>
                <w:sz w:val="20"/>
                <w:szCs w:val="20"/>
              </w:rPr>
              <w:fldChar w:fldCharType="end"/>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30201</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办公费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5.78</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5.78</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30202</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印刷费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8.48</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8.48</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30203</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咨询费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30205</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水费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1.32</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30206</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电费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color w:val="000000" w:themeColor="text1"/>
                <w:sz w:val="20"/>
                <w:szCs w:val="20"/>
                <w14:textFill>
                  <w14:solidFill>
                    <w14:schemeClr w14:val="tx1"/>
                  </w14:solidFill>
                </w14:textFill>
              </w:rPr>
              <w:t>4.56</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4.56</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30207</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邮电费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11.00</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11.00</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30211</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差旅费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58.22</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58.22</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30216</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培训费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0.42</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0.42</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30226</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劳务费</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94.74</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94.74</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30239</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其他交通费用</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8.57</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8.57</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9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30299</w:t>
            </w:r>
          </w:p>
        </w:tc>
        <w:tc>
          <w:tcPr>
            <w:tcW w:w="303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其他商品和服务支出</w:t>
            </w:r>
          </w:p>
        </w:tc>
        <w:tc>
          <w:tcPr>
            <w:tcW w:w="98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22.35</w:t>
            </w:r>
          </w:p>
        </w:tc>
        <w:tc>
          <w:tcPr>
            <w:tcW w:w="12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3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22.35</w:t>
            </w:r>
          </w:p>
        </w:tc>
        <w:tc>
          <w:tcPr>
            <w:tcW w:w="91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一般公共预算财政拨款“三公”经费及会议费、培训费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528"/>
        <w:gridCol w:w="1017"/>
        <w:gridCol w:w="1017"/>
        <w:gridCol w:w="1017"/>
        <w:gridCol w:w="1017"/>
        <w:gridCol w:w="1018"/>
        <w:gridCol w:w="101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19"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5614" w:type="dxa"/>
            <w:gridSpan w:val="6"/>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9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419"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52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小</w:t>
            </w:r>
          </w:p>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计</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1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9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419"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52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9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1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52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1.00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2.00</w:t>
            </w:r>
          </w:p>
        </w:tc>
        <w:tc>
          <w:tcPr>
            <w:tcW w:w="9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41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52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17"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09"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0.42</w:t>
            </w: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044"/>
        <w:gridCol w:w="1072"/>
        <w:gridCol w:w="1136"/>
        <w:gridCol w:w="1136"/>
        <w:gridCol w:w="1136"/>
        <w:gridCol w:w="113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19"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2"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6"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0" w:type="dxa"/>
            <w:gridSpan w:val="3"/>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0" w:type="dxa"/>
            <w:vMerge w:val="restart"/>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17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2"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6"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0" w:type="dxa"/>
            <w:vMerge w:val="continue"/>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2219" w:type="dxa"/>
            <w:gridSpan w:val="2"/>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7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117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75"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4"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2"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6"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8"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0" w:type="dxa"/>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6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 xml:space="preserve">编制部门：镇安县信访局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t/>
      </w:r>
      <w:r>
        <w:rPr>
          <w:rFonts w:hint="eastAsia" w:ascii="宋体" w:hAnsi="宋体" w:eastAsia="宋体" w:cs="宋体"/>
          <w:b/>
          <w:bCs/>
          <w:sz w:val="20"/>
          <w:szCs w:val="20"/>
          <w:lang w:val="en-US" w:eastAsia="zh-CN"/>
        </w:rPr>
        <w:tab/>
      </w:r>
      <w:r>
        <w:rPr>
          <w:rFonts w:hint="eastAsia" w:ascii="宋体" w:hAnsi="宋体" w:eastAsia="宋体" w:cs="宋体"/>
          <w:b/>
          <w:bCs/>
          <w:sz w:val="20"/>
          <w:szCs w:val="20"/>
        </w:rPr>
        <w:t xml:space="preserve">   金额单位：万元</w:t>
      </w:r>
    </w:p>
    <w:tbl>
      <w:tblPr>
        <w:tblStyle w:val="8"/>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45"/>
        <w:gridCol w:w="1075"/>
        <w:gridCol w:w="1139"/>
        <w:gridCol w:w="1139"/>
        <w:gridCol w:w="1139"/>
        <w:gridCol w:w="114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jc w:val="center"/>
        <w:rPr>
          <w:rFonts w:ascii="宋体" w:hAnsi="宋体" w:cs="宋体"/>
          <w:sz w:val="20"/>
          <w:szCs w:val="20"/>
        </w:rPr>
      </w:pP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2020年收入、支出总计795.77万元，与2019年相比，收入、支出总计各减少52.14万元，减少6.15%，主要是：职工退休后，没有增加人员。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083050" cy="2416175"/>
            <wp:effectExtent l="4445" t="5080" r="8255" b="1714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2020年收入合计775.26万元，其中：财政拨款收入775.26万元，占总收入100%；事业收入0万元，占总收入0%；其他收入0万元，占总收入0%，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168775" cy="2016760"/>
            <wp:effectExtent l="5080" t="5080" r="17145"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三、支出决算情况说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2020年支出合计794.35万元，其中：基本支出480.64万元，占总支出60.51%；项目支出313.71万元，占总支出39.49%。</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245610" cy="2573655"/>
            <wp:effectExtent l="4445" t="4445" r="1714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2020年度财政拨款收入、支出总计795.77万元，与2019年度相比，财政拨款收入、支出总计减少52.14万元，减少6.15%，主要是：职工退休后，没有增加人员。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4587875" cy="2089150"/>
            <wp:effectExtent l="4445" t="5080" r="17780"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2020年财政拨款支出794.35万元，占本年支出合计的100%。与2019年相比，财政拨款支出减少33.05万元，减少3.99%，主要原因是：职工退休后，没有增加人员（。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114300" distR="114300">
            <wp:extent cx="4861560" cy="2324100"/>
            <wp:effectExtent l="4445" t="4445" r="1079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2020年财政拨款支出年初预算为514.81万元，调整预算为795.77万元，支出决算为794.35万元，完成预算的99.82%。按照政府功能分类科目分，其中：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1.一般公共服务支出（类）政府办公厅（室）及相关机构事务</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sz w:val="32"/>
          <w:szCs w:val="32"/>
        </w:rPr>
        <w:t>行政运行（项）。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年初预算为470.81万元，调整预算为480.64万元，支出决算为480.64万元，完成预算的100%。决算数与预算数持平</w:t>
      </w:r>
      <w:r>
        <w:rPr>
          <w:rFonts w:hint="eastAsia" w:ascii="仿宋_GB2312" w:hAnsi="仿宋_GB2312" w:eastAsia="仿宋_GB2312" w:cs="仿宋_GB2312"/>
          <w:sz w:val="32"/>
          <w:szCs w:val="32"/>
        </w:rPr>
        <w:t>，主要原因是严格执行预算。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2.一般公共服务支出（类）政府办公厅（室）及相关机构事务</w:t>
      </w:r>
      <w:r>
        <w:rPr>
          <w:rFonts w:hint="eastAsia" w:ascii="仿宋_GB2312" w:hAnsi="仿宋_GB2312" w:eastAsia="仿宋_GB2312" w:cs="仿宋_GB2312"/>
          <w:color w:val="000000"/>
          <w:sz w:val="32"/>
          <w:szCs w:val="32"/>
        </w:rPr>
        <w:t>（款）</w:t>
      </w:r>
      <w:r>
        <w:rPr>
          <w:rFonts w:hint="eastAsia" w:ascii="仿宋_GB2312" w:hAnsi="仿宋_GB2312" w:eastAsia="仿宋_GB2312" w:cs="仿宋_GB2312"/>
          <w:sz w:val="32"/>
          <w:szCs w:val="32"/>
        </w:rPr>
        <w:t>信访事务（项）。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年初预算为44万元，调整预算为315.13万元，支出决算为313.71万元，完成预算的99.55%，决算数小于预算数的主要原因是：应付未付的信访疑难案件救助专项资金批准结转下年度使用。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2020年一般公共预算财政拨款基本支出480.64元，包括：人员经费支出259.3万元和公用经费支出221.34万元。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rPr>
        <w:t>人员经费支出</w:t>
      </w:r>
      <w:r>
        <w:rPr>
          <w:rFonts w:hint="eastAsia" w:ascii="仿宋_GB2312" w:hAnsi="仿宋_GB2312" w:eastAsia="仿宋_GB2312" w:cs="仿宋_GB2312"/>
          <w:sz w:val="32"/>
          <w:szCs w:val="32"/>
        </w:rPr>
        <w:t>259.3万元，主要包括基本工资94.81万元、津贴补贴70.2万元、奖金27.08万元、机关事业单位基本保险养老缴费32.48万元，其他社会保障缴费34.73万元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公用经费支出</w:t>
      </w:r>
      <w:r>
        <w:rPr>
          <w:rFonts w:hint="eastAsia" w:ascii="仿宋_GB2312" w:hAnsi="仿宋_GB2312" w:eastAsia="仿宋_GB2312" w:cs="仿宋_GB2312"/>
          <w:sz w:val="32"/>
          <w:szCs w:val="32"/>
        </w:rPr>
        <w:t>221.34万元，主要包括办公费5.78万元、印刷费8.48万元、咨询费5.9万元、水费1.32万元、电费4.56万元、邮电费11万元、差旅费58.22万元、培训费0.42万元、劳务费94.74万元、其他交通费8.57万元，其他商品和服务支出22.35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2020年“三公”经费财政拨款支出预算为1万元，支出决算为0万元，完成预算的0%。</w:t>
      </w:r>
      <w:r>
        <w:rPr>
          <w:rFonts w:hint="eastAsia" w:ascii="仿宋" w:hAnsi="仿宋" w:eastAsia="仿宋" w:cs="仿宋"/>
          <w:sz w:val="32"/>
          <w:szCs w:val="32"/>
        </w:rPr>
        <w:t>决算数较预算数减少1万元，主要原因是严格执行中央八项规定。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万元，占“三公”经费总支出0%。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 w:cs="仿宋_GB2312"/>
          <w:sz w:val="32"/>
          <w:szCs w:val="32"/>
        </w:rPr>
      </w:pPr>
      <w:r>
        <w:rPr>
          <w:rFonts w:hint="eastAsia" w:ascii="仿宋_GB2312" w:hAnsi="仿宋_GB2312" w:eastAsia="仿宋_GB2312" w:cs="仿宋_GB2312"/>
          <w:sz w:val="32"/>
          <w:szCs w:val="32"/>
        </w:rPr>
        <w:t>2020年因公出国（境）团组0个，0人次，预算为0万元，支出决算为0万元，完成预算的0%，</w:t>
      </w:r>
      <w:r>
        <w:rPr>
          <w:rFonts w:hint="eastAsia" w:ascii="仿宋" w:hAnsi="仿宋" w:eastAsia="仿宋" w:cs="仿宋"/>
          <w:sz w:val="32"/>
          <w:szCs w:val="32"/>
        </w:rPr>
        <w:t>决算数与预算数持平</w:t>
      </w:r>
      <w:r>
        <w:rPr>
          <w:rFonts w:hint="eastAsia" w:ascii="仿宋_GB2312" w:hAnsi="仿宋_GB2312" w:eastAsia="仿宋_GB2312" w:cs="仿宋_GB2312"/>
          <w:sz w:val="32"/>
          <w:szCs w:val="32"/>
        </w:rPr>
        <w:t>，主要原因是</w:t>
      </w:r>
      <w:r>
        <w:rPr>
          <w:rFonts w:hint="eastAsia" w:ascii="仿宋" w:hAnsi="仿宋" w:eastAsia="仿宋" w:cs="仿宋"/>
          <w:sz w:val="32"/>
          <w:szCs w:val="32"/>
        </w:rPr>
        <w:t>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 w:cs="仿宋_GB2312"/>
          <w:sz w:val="32"/>
          <w:szCs w:val="32"/>
        </w:rPr>
      </w:pPr>
      <w:r>
        <w:rPr>
          <w:rFonts w:hint="eastAsia" w:ascii="仿宋_GB2312" w:hAnsi="仿宋_GB2312" w:eastAsia="仿宋_GB2312" w:cs="仿宋_GB2312"/>
          <w:sz w:val="32"/>
          <w:szCs w:val="32"/>
        </w:rPr>
        <w:t>2020年购置车辆0台，预算为0万元，支出决算为0万元，完成预算的0%，</w:t>
      </w:r>
      <w:r>
        <w:rPr>
          <w:rFonts w:hint="eastAsia" w:ascii="仿宋" w:hAnsi="仿宋" w:eastAsia="仿宋" w:cs="仿宋"/>
          <w:sz w:val="32"/>
          <w:szCs w:val="32"/>
        </w:rPr>
        <w:t>决算数与预算数持平</w:t>
      </w:r>
      <w:r>
        <w:rPr>
          <w:rFonts w:hint="eastAsia" w:ascii="仿宋_GB2312" w:hAnsi="仿宋_GB2312" w:eastAsia="仿宋_GB2312" w:cs="仿宋_GB2312"/>
          <w:sz w:val="32"/>
          <w:szCs w:val="32"/>
        </w:rPr>
        <w:t>，主要原因是</w:t>
      </w:r>
      <w:r>
        <w:rPr>
          <w:rFonts w:hint="eastAsia" w:ascii="仿宋" w:hAnsi="仿宋" w:eastAsia="仿宋" w:cs="仿宋"/>
          <w:sz w:val="32"/>
          <w:szCs w:val="32"/>
        </w:rPr>
        <w:t>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2020年公务用车运行维护费预算为0万元，支出决算为0万元，完成预算的0%，</w:t>
      </w:r>
      <w:r>
        <w:rPr>
          <w:rFonts w:hint="eastAsia" w:ascii="仿宋" w:hAnsi="仿宋" w:eastAsia="仿宋" w:cs="仿宋"/>
          <w:sz w:val="32"/>
          <w:szCs w:val="32"/>
        </w:rPr>
        <w:t>决算数与预算数持平</w:t>
      </w:r>
      <w:r>
        <w:rPr>
          <w:rFonts w:hint="eastAsia" w:ascii="仿宋_GB2312" w:hAnsi="仿宋_GB2312" w:eastAsia="仿宋_GB2312" w:cs="仿宋_GB2312"/>
          <w:sz w:val="32"/>
          <w:szCs w:val="32"/>
        </w:rPr>
        <w:t>，主要原因</w:t>
      </w:r>
      <w:r>
        <w:rPr>
          <w:rFonts w:hint="eastAsia" w:ascii="仿宋" w:hAnsi="仿宋" w:eastAsia="仿宋" w:cs="仿宋"/>
          <w:sz w:val="32"/>
          <w:szCs w:val="32"/>
        </w:rPr>
        <w:t>主要原因是车改后，本单位无公务用车。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2020年公务接待0批次，0人次，预算为1万元，支出决算为0万元，完成预算的0%，决算数较预算数减少1万元，主要原因是</w:t>
      </w:r>
      <w:r>
        <w:rPr>
          <w:rFonts w:hint="eastAsia" w:ascii="仿宋" w:hAnsi="仿宋" w:eastAsia="仿宋" w:cs="仿宋"/>
          <w:sz w:val="32"/>
          <w:szCs w:val="32"/>
        </w:rPr>
        <w:t>严格执行中央八项规定。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2020年培训费预算为2万元，支出决算为0.42万元，完成预算的21%，决算数较预算数减少1.58万元，主要原因是</w:t>
      </w:r>
      <w:r>
        <w:rPr>
          <w:rFonts w:hint="eastAsia" w:ascii="仿宋" w:hAnsi="仿宋" w:eastAsia="仿宋" w:cs="仿宋"/>
          <w:sz w:val="32"/>
          <w:szCs w:val="32"/>
        </w:rPr>
        <w:t>取消了部分培训计划，减少培训人次。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2020年会议费预算为0万元，支出决算为0万元，完成预算的0%，</w:t>
      </w:r>
      <w:r>
        <w:rPr>
          <w:rFonts w:hint="eastAsia" w:ascii="仿宋" w:hAnsi="仿宋" w:eastAsia="仿宋" w:cs="仿宋"/>
          <w:sz w:val="32"/>
          <w:szCs w:val="32"/>
        </w:rPr>
        <w:t>决算数与预算数持平</w:t>
      </w:r>
      <w:r>
        <w:rPr>
          <w:rFonts w:hint="eastAsia" w:ascii="仿宋_GB2312" w:hAnsi="仿宋_GB2312" w:eastAsia="仿宋_GB2312" w:cs="仿宋_GB2312"/>
          <w:sz w:val="32"/>
          <w:szCs w:val="32"/>
        </w:rPr>
        <w:t>，主要原因是</w:t>
      </w:r>
      <w:r>
        <w:rPr>
          <w:rFonts w:hint="eastAsia" w:ascii="仿宋" w:hAnsi="仿宋" w:eastAsia="仿宋" w:cs="仿宋"/>
          <w:sz w:val="32"/>
          <w:szCs w:val="32"/>
        </w:rPr>
        <w:t>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一般公共预算项目支出全面开展绩效自评，其中，一级项目1个，二级项目2个，共涉及资金44万元，占一般公共预算项目支出总额的100%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本部门在2019年度部门决算中反映的驻京长效机制、办公场所租赁等共1个一级项目绩效自评结果。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驻京长效机制项目绩效自评综述：根据年初设定的绩效目标，项目自评得分100分。项目全年预算数20万元，执行数20万元，完成预算的100%。主要产出和效果：建立公安、信访等驻京长效机制，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办公场所租赁项目绩效自评综述：根据年初设定的绩效目标，项目自评得分100分。项目全年预算数24万元，执行数24万元，完成预算的100%。主要产出和效果：保证信访机关正常运转，化解社会矛盾纠纷，处理各种疑难问题。</w:t>
      </w:r>
    </w:p>
    <w:p>
      <w:pPr>
        <w:spacing w:line="460" w:lineRule="exact"/>
        <w:jc w:val="center"/>
        <w:rPr>
          <w:rFonts w:ascii="方正小标宋简体" w:hAnsi="方正小标宋简体" w:eastAsia="方正小标宋简体" w:cs="方正小标宋简体"/>
          <w:sz w:val="36"/>
          <w:szCs w:val="36"/>
        </w:rPr>
      </w:pPr>
      <w:r>
        <w:rPr>
          <w:rFonts w:hint="eastAsia" w:ascii="仿宋_GB2312" w:hAnsi="仿宋_GB2312" w:eastAsia="仿宋_GB2312" w:cs="仿宋_GB2312"/>
          <w:color w:val="FF0000"/>
          <w:sz w:val="32"/>
          <w:szCs w:val="32"/>
        </w:rPr>
        <w:br w:type="page"/>
      </w: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901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4"/>
        <w:gridCol w:w="1432"/>
        <w:gridCol w:w="1231"/>
        <w:gridCol w:w="184"/>
        <w:gridCol w:w="777"/>
        <w:gridCol w:w="518"/>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Pr>
          <w:p>
            <w:pPr>
              <w:spacing w:line="500" w:lineRule="exact"/>
              <w:rPr>
                <w:rFonts w:ascii="宋体" w:hAnsi="宋体" w:cs="宋体"/>
                <w:sz w:val="18"/>
                <w:szCs w:val="18"/>
              </w:rPr>
            </w:pPr>
            <w:r>
              <w:rPr>
                <w:rFonts w:hint="eastAsia" w:ascii="宋体" w:hAnsi="宋体" w:cs="宋体"/>
                <w:sz w:val="18"/>
                <w:szCs w:val="18"/>
              </w:rPr>
              <w:t>专项（项目）名称</w:t>
            </w:r>
          </w:p>
        </w:tc>
        <w:tc>
          <w:tcPr>
            <w:tcW w:w="7280" w:type="dxa"/>
            <w:gridSpan w:val="8"/>
          </w:tcPr>
          <w:p>
            <w:pPr>
              <w:spacing w:line="500" w:lineRule="exact"/>
              <w:ind w:firstLine="361"/>
              <w:rPr>
                <w:rFonts w:ascii="宋体" w:hAnsi="宋体" w:eastAsia="宋体" w:cs="宋体"/>
                <w:sz w:val="18"/>
                <w:szCs w:val="18"/>
              </w:rPr>
            </w:pPr>
            <w:r>
              <w:rPr>
                <w:rFonts w:hint="eastAsia" w:ascii="宋体" w:hAnsi="宋体" w:cs="宋体"/>
                <w:sz w:val="18"/>
                <w:szCs w:val="18"/>
              </w:rPr>
              <w:t>通用项目--驻京长效机制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Pr>
          <w:p>
            <w:pPr>
              <w:spacing w:line="500" w:lineRule="exact"/>
              <w:ind w:firstLine="361"/>
              <w:rPr>
                <w:rFonts w:ascii="宋体" w:hAnsi="宋体" w:cs="宋体"/>
                <w:sz w:val="18"/>
                <w:szCs w:val="18"/>
              </w:rPr>
            </w:pPr>
            <w:r>
              <w:rPr>
                <w:rFonts w:hint="eastAsia" w:ascii="宋体" w:hAnsi="宋体" w:cs="宋体"/>
                <w:sz w:val="18"/>
                <w:szCs w:val="18"/>
              </w:rPr>
              <w:t>主管部门</w:t>
            </w:r>
          </w:p>
        </w:tc>
        <w:tc>
          <w:tcPr>
            <w:tcW w:w="3371" w:type="dxa"/>
            <w:gridSpan w:val="3"/>
          </w:tcPr>
          <w:p>
            <w:pPr>
              <w:spacing w:line="500" w:lineRule="exact"/>
              <w:ind w:firstLine="361"/>
              <w:jc w:val="center"/>
              <w:rPr>
                <w:rFonts w:ascii="宋体" w:hAnsi="宋体" w:cs="宋体"/>
                <w:sz w:val="18"/>
                <w:szCs w:val="18"/>
              </w:rPr>
            </w:pPr>
            <w:r>
              <w:rPr>
                <w:rFonts w:hint="eastAsia" w:ascii="宋体" w:hAnsi="宋体" w:cs="宋体"/>
                <w:sz w:val="18"/>
                <w:szCs w:val="18"/>
              </w:rPr>
              <w:t>陕西省信访局</w:t>
            </w:r>
          </w:p>
        </w:tc>
        <w:tc>
          <w:tcPr>
            <w:tcW w:w="1231" w:type="dxa"/>
            <w:vAlign w:val="center"/>
          </w:tcPr>
          <w:p>
            <w:pPr>
              <w:spacing w:line="500" w:lineRule="exact"/>
              <w:rPr>
                <w:rFonts w:ascii="宋体" w:hAnsi="宋体" w:cs="宋体"/>
                <w:sz w:val="18"/>
                <w:szCs w:val="18"/>
              </w:rPr>
            </w:pPr>
            <w:r>
              <w:rPr>
                <w:rFonts w:hint="eastAsia" w:ascii="宋体" w:hAnsi="宋体" w:cs="宋体"/>
                <w:sz w:val="18"/>
                <w:szCs w:val="18"/>
              </w:rPr>
              <w:t>实施单位</w:t>
            </w:r>
          </w:p>
        </w:tc>
        <w:tc>
          <w:tcPr>
            <w:tcW w:w="2678" w:type="dxa"/>
            <w:gridSpan w:val="4"/>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镇安县信访局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项目资金（万元）</w:t>
            </w:r>
          </w:p>
        </w:tc>
        <w:tc>
          <w:tcPr>
            <w:tcW w:w="1939" w:type="dxa"/>
            <w:gridSpan w:val="2"/>
          </w:tcPr>
          <w:p>
            <w:pPr>
              <w:spacing w:line="500" w:lineRule="exact"/>
              <w:ind w:firstLine="361"/>
              <w:rPr>
                <w:rFonts w:ascii="宋体" w:hAnsi="宋体" w:cs="宋体"/>
                <w:sz w:val="18"/>
                <w:szCs w:val="18"/>
              </w:rPr>
            </w:pPr>
          </w:p>
        </w:tc>
        <w:tc>
          <w:tcPr>
            <w:tcW w:w="1432" w:type="dxa"/>
            <w:vAlign w:val="center"/>
          </w:tcPr>
          <w:p>
            <w:pPr>
              <w:spacing w:line="500" w:lineRule="exact"/>
              <w:rPr>
                <w:rFonts w:ascii="宋体" w:hAnsi="宋体" w:cs="宋体"/>
                <w:sz w:val="18"/>
                <w:szCs w:val="18"/>
              </w:rPr>
            </w:pPr>
            <w:r>
              <w:rPr>
                <w:rFonts w:hint="eastAsia" w:ascii="宋体" w:hAnsi="宋体" w:cs="宋体"/>
                <w:sz w:val="18"/>
                <w:szCs w:val="18"/>
              </w:rPr>
              <w:t>全年预算数（A）</w:t>
            </w:r>
          </w:p>
        </w:tc>
        <w:tc>
          <w:tcPr>
            <w:tcW w:w="2192" w:type="dxa"/>
            <w:gridSpan w:val="3"/>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全年执行数（B）</w:t>
            </w:r>
          </w:p>
        </w:tc>
        <w:tc>
          <w:tcPr>
            <w:tcW w:w="1717" w:type="dxa"/>
            <w:gridSpan w:val="2"/>
            <w:vAlign w:val="center"/>
          </w:tcPr>
          <w:p>
            <w:pPr>
              <w:spacing w:line="500" w:lineRule="exact"/>
              <w:ind w:firstLine="361"/>
              <w:jc w:val="center"/>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361"/>
              <w:rPr>
                <w:rFonts w:ascii="宋体" w:hAnsi="宋体" w:cs="宋体"/>
                <w:sz w:val="18"/>
                <w:szCs w:val="18"/>
              </w:rPr>
            </w:pPr>
            <w:r>
              <w:rPr>
                <w:rFonts w:hint="eastAsia" w:ascii="宋体" w:hAnsi="宋体" w:cs="宋体"/>
                <w:sz w:val="18"/>
                <w:szCs w:val="18"/>
              </w:rPr>
              <w:t>年度资金总额：</w:t>
            </w:r>
          </w:p>
        </w:tc>
        <w:tc>
          <w:tcPr>
            <w:tcW w:w="1432" w:type="dxa"/>
          </w:tcPr>
          <w:p>
            <w:pPr>
              <w:spacing w:line="500" w:lineRule="exact"/>
              <w:ind w:firstLine="361"/>
              <w:rPr>
                <w:rFonts w:ascii="宋体" w:hAnsi="宋体" w:eastAsia="宋体" w:cs="宋体"/>
                <w:sz w:val="18"/>
                <w:szCs w:val="18"/>
              </w:rPr>
            </w:pPr>
            <w:r>
              <w:rPr>
                <w:rFonts w:hint="eastAsia" w:ascii="宋体" w:hAnsi="宋体" w:cs="宋体"/>
                <w:sz w:val="18"/>
                <w:szCs w:val="18"/>
              </w:rPr>
              <w:t>20</w:t>
            </w:r>
          </w:p>
        </w:tc>
        <w:tc>
          <w:tcPr>
            <w:tcW w:w="2192" w:type="dxa"/>
            <w:gridSpan w:val="3"/>
          </w:tcPr>
          <w:p>
            <w:pPr>
              <w:spacing w:line="500" w:lineRule="exact"/>
              <w:ind w:firstLine="361"/>
              <w:rPr>
                <w:rFonts w:ascii="宋体" w:hAnsi="宋体" w:eastAsia="宋体" w:cs="宋体"/>
                <w:sz w:val="18"/>
                <w:szCs w:val="18"/>
              </w:rPr>
            </w:pPr>
            <w:r>
              <w:rPr>
                <w:rFonts w:hint="eastAsia" w:ascii="宋体" w:hAnsi="宋体" w:cs="宋体"/>
                <w:sz w:val="18"/>
                <w:szCs w:val="18"/>
              </w:rPr>
              <w:t>20</w:t>
            </w:r>
          </w:p>
        </w:tc>
        <w:tc>
          <w:tcPr>
            <w:tcW w:w="1717" w:type="dxa"/>
            <w:gridSpan w:val="2"/>
          </w:tcPr>
          <w:p>
            <w:pPr>
              <w:spacing w:line="500" w:lineRule="exact"/>
              <w:ind w:firstLine="361"/>
              <w:rPr>
                <w:rFonts w:ascii="宋体" w:hAnsi="宋体" w:eastAsia="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361"/>
              <w:rPr>
                <w:rFonts w:ascii="宋体" w:hAnsi="宋体" w:cs="宋体"/>
                <w:sz w:val="18"/>
                <w:szCs w:val="18"/>
              </w:rPr>
            </w:pPr>
            <w:r>
              <w:rPr>
                <w:rFonts w:hint="eastAsia" w:ascii="宋体" w:hAnsi="宋体" w:cs="宋体"/>
                <w:sz w:val="18"/>
                <w:szCs w:val="18"/>
              </w:rPr>
              <w:t>其中：省级财政资</w:t>
            </w:r>
          </w:p>
        </w:tc>
        <w:tc>
          <w:tcPr>
            <w:tcW w:w="1432" w:type="dxa"/>
          </w:tcPr>
          <w:p>
            <w:pPr>
              <w:spacing w:line="500" w:lineRule="exact"/>
              <w:ind w:firstLine="361"/>
              <w:rPr>
                <w:rFonts w:ascii="宋体" w:hAnsi="宋体" w:cs="宋体"/>
                <w:sz w:val="18"/>
                <w:szCs w:val="18"/>
              </w:rPr>
            </w:pPr>
          </w:p>
        </w:tc>
        <w:tc>
          <w:tcPr>
            <w:tcW w:w="2192" w:type="dxa"/>
            <w:gridSpan w:val="3"/>
          </w:tcPr>
          <w:p>
            <w:pPr>
              <w:spacing w:line="500" w:lineRule="exact"/>
              <w:ind w:firstLine="361"/>
              <w:rPr>
                <w:rFonts w:ascii="宋体" w:hAnsi="宋体" w:cs="宋体"/>
                <w:sz w:val="18"/>
                <w:szCs w:val="18"/>
              </w:rPr>
            </w:pPr>
          </w:p>
        </w:tc>
        <w:tc>
          <w:tcPr>
            <w:tcW w:w="1717" w:type="dxa"/>
            <w:gridSpan w:val="2"/>
          </w:tcPr>
          <w:p>
            <w:pPr>
              <w:spacing w:line="50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540" w:firstLineChars="300"/>
              <w:rPr>
                <w:rFonts w:ascii="宋体" w:hAnsi="宋体" w:cs="宋体"/>
                <w:sz w:val="18"/>
                <w:szCs w:val="18"/>
              </w:rPr>
            </w:pPr>
            <w:r>
              <w:rPr>
                <w:rFonts w:hint="eastAsia" w:ascii="宋体" w:hAnsi="宋体" w:cs="宋体"/>
                <w:sz w:val="18"/>
                <w:szCs w:val="18"/>
              </w:rPr>
              <w:t>市县财政资</w:t>
            </w:r>
          </w:p>
        </w:tc>
        <w:tc>
          <w:tcPr>
            <w:tcW w:w="1432" w:type="dxa"/>
          </w:tcPr>
          <w:p>
            <w:pPr>
              <w:spacing w:line="500" w:lineRule="exact"/>
              <w:ind w:firstLine="360" w:firstLineChars="200"/>
              <w:rPr>
                <w:rFonts w:ascii="宋体" w:hAnsi="宋体" w:cs="宋体"/>
                <w:sz w:val="18"/>
                <w:szCs w:val="18"/>
              </w:rPr>
            </w:pPr>
            <w:r>
              <w:rPr>
                <w:rFonts w:hint="eastAsia" w:ascii="宋体" w:hAnsi="宋体" w:cs="宋体"/>
                <w:sz w:val="18"/>
                <w:szCs w:val="18"/>
              </w:rPr>
              <w:t>20</w:t>
            </w:r>
          </w:p>
        </w:tc>
        <w:tc>
          <w:tcPr>
            <w:tcW w:w="2192" w:type="dxa"/>
            <w:gridSpan w:val="3"/>
          </w:tcPr>
          <w:p>
            <w:pPr>
              <w:spacing w:line="500" w:lineRule="exact"/>
              <w:ind w:firstLine="360" w:firstLineChars="200"/>
              <w:rPr>
                <w:rFonts w:ascii="宋体" w:hAnsi="宋体" w:cs="宋体"/>
                <w:sz w:val="18"/>
                <w:szCs w:val="18"/>
              </w:rPr>
            </w:pPr>
            <w:r>
              <w:rPr>
                <w:rFonts w:hint="eastAsia" w:ascii="宋体" w:hAnsi="宋体" w:cs="宋体"/>
                <w:sz w:val="18"/>
                <w:szCs w:val="18"/>
              </w:rPr>
              <w:t>20</w:t>
            </w:r>
          </w:p>
        </w:tc>
        <w:tc>
          <w:tcPr>
            <w:tcW w:w="1717" w:type="dxa"/>
            <w:gridSpan w:val="2"/>
          </w:tcPr>
          <w:p>
            <w:pPr>
              <w:spacing w:line="500" w:lineRule="exact"/>
              <w:ind w:firstLine="361"/>
              <w:rPr>
                <w:rFonts w:ascii="宋体" w:hAnsi="宋体" w:eastAsia="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spacing w:line="500" w:lineRule="exact"/>
              <w:ind w:firstLine="361"/>
              <w:rPr>
                <w:rFonts w:ascii="宋体" w:hAnsi="宋体" w:cs="宋体"/>
                <w:sz w:val="18"/>
                <w:szCs w:val="18"/>
              </w:rPr>
            </w:pPr>
          </w:p>
        </w:tc>
        <w:tc>
          <w:tcPr>
            <w:tcW w:w="1939" w:type="dxa"/>
            <w:gridSpan w:val="2"/>
          </w:tcPr>
          <w:p>
            <w:pPr>
              <w:spacing w:line="500" w:lineRule="exact"/>
              <w:ind w:firstLine="540" w:firstLineChars="300"/>
              <w:rPr>
                <w:rFonts w:ascii="宋体" w:hAnsi="宋体" w:cs="宋体"/>
                <w:sz w:val="18"/>
                <w:szCs w:val="18"/>
              </w:rPr>
            </w:pPr>
            <w:r>
              <w:rPr>
                <w:rFonts w:hint="eastAsia" w:ascii="宋体" w:hAnsi="宋体" w:cs="宋体"/>
                <w:sz w:val="18"/>
                <w:szCs w:val="18"/>
              </w:rPr>
              <w:t>其他资金</w:t>
            </w:r>
          </w:p>
        </w:tc>
        <w:tc>
          <w:tcPr>
            <w:tcW w:w="1432" w:type="dxa"/>
          </w:tcPr>
          <w:p>
            <w:pPr>
              <w:spacing w:line="500" w:lineRule="exact"/>
              <w:ind w:firstLine="361"/>
              <w:rPr>
                <w:rFonts w:ascii="宋体" w:hAnsi="宋体" w:cs="宋体"/>
                <w:sz w:val="18"/>
                <w:szCs w:val="18"/>
              </w:rPr>
            </w:pPr>
          </w:p>
        </w:tc>
        <w:tc>
          <w:tcPr>
            <w:tcW w:w="2192" w:type="dxa"/>
            <w:gridSpan w:val="3"/>
          </w:tcPr>
          <w:p>
            <w:pPr>
              <w:spacing w:line="500" w:lineRule="exact"/>
              <w:ind w:firstLine="361"/>
              <w:rPr>
                <w:rFonts w:ascii="宋体" w:hAnsi="宋体" w:cs="宋体"/>
                <w:sz w:val="18"/>
                <w:szCs w:val="18"/>
              </w:rPr>
            </w:pPr>
          </w:p>
        </w:tc>
        <w:tc>
          <w:tcPr>
            <w:tcW w:w="1717" w:type="dxa"/>
            <w:gridSpan w:val="2"/>
          </w:tcPr>
          <w:p>
            <w:pPr>
              <w:spacing w:line="50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vAlign w:val="center"/>
          </w:tcPr>
          <w:p>
            <w:pPr>
              <w:spacing w:line="320" w:lineRule="exact"/>
              <w:rPr>
                <w:rFonts w:ascii="宋体" w:hAnsi="宋体" w:cs="宋体"/>
                <w:sz w:val="18"/>
                <w:szCs w:val="18"/>
              </w:rPr>
            </w:pPr>
            <w:r>
              <w:rPr>
                <w:rFonts w:hint="eastAsia" w:ascii="宋体" w:hAnsi="宋体" w:cs="宋体"/>
                <w:sz w:val="18"/>
                <w:szCs w:val="18"/>
              </w:rPr>
              <w:t>年度</w:t>
            </w:r>
          </w:p>
          <w:p>
            <w:pPr>
              <w:spacing w:line="320" w:lineRule="exact"/>
              <w:rPr>
                <w:rFonts w:ascii="宋体" w:hAnsi="宋体" w:cs="宋体"/>
                <w:sz w:val="18"/>
                <w:szCs w:val="18"/>
              </w:rPr>
            </w:pPr>
            <w:r>
              <w:rPr>
                <w:rFonts w:hint="eastAsia" w:ascii="宋体" w:hAnsi="宋体" w:cs="宋体"/>
                <w:sz w:val="18"/>
                <w:szCs w:val="18"/>
              </w:rPr>
              <w:t>总体</w:t>
            </w:r>
          </w:p>
          <w:p>
            <w:pPr>
              <w:spacing w:line="320" w:lineRule="exact"/>
              <w:rPr>
                <w:rFonts w:ascii="宋体" w:hAnsi="宋体" w:cs="宋体"/>
                <w:sz w:val="18"/>
                <w:szCs w:val="18"/>
              </w:rPr>
            </w:pPr>
            <w:r>
              <w:rPr>
                <w:rFonts w:hint="eastAsia" w:ascii="宋体" w:hAnsi="宋体" w:cs="宋体"/>
                <w:sz w:val="18"/>
                <w:szCs w:val="18"/>
              </w:rPr>
              <w:t>目标</w:t>
            </w:r>
          </w:p>
        </w:tc>
        <w:tc>
          <w:tcPr>
            <w:tcW w:w="4394" w:type="dxa"/>
            <w:gridSpan w:val="5"/>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年初设定目标</w:t>
            </w:r>
          </w:p>
        </w:tc>
        <w:tc>
          <w:tcPr>
            <w:tcW w:w="3909" w:type="dxa"/>
            <w:gridSpan w:val="5"/>
            <w:vAlign w:val="center"/>
          </w:tcPr>
          <w:p>
            <w:pPr>
              <w:spacing w:line="320" w:lineRule="exact"/>
              <w:ind w:firstLine="361"/>
              <w:jc w:val="center"/>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tcPr>
          <w:p>
            <w:pPr>
              <w:spacing w:line="320" w:lineRule="exact"/>
              <w:ind w:firstLine="361"/>
              <w:rPr>
                <w:rFonts w:ascii="宋体" w:hAnsi="宋体" w:cs="宋体"/>
                <w:sz w:val="18"/>
                <w:szCs w:val="18"/>
              </w:rPr>
            </w:pPr>
          </w:p>
        </w:tc>
        <w:tc>
          <w:tcPr>
            <w:tcW w:w="4394" w:type="dxa"/>
            <w:gridSpan w:val="5"/>
          </w:tcPr>
          <w:p>
            <w:pPr>
              <w:spacing w:line="320" w:lineRule="exact"/>
              <w:rPr>
                <w:rFonts w:ascii="宋体" w:hAnsi="宋体" w:cs="宋体"/>
                <w:sz w:val="18"/>
                <w:szCs w:val="18"/>
              </w:rPr>
            </w:pPr>
            <w:r>
              <w:rPr>
                <w:rFonts w:hint="eastAsia" w:ascii="宋体" w:hAnsi="宋体" w:cs="宋体"/>
                <w:sz w:val="18"/>
                <w:szCs w:val="18"/>
              </w:rPr>
              <w:t>保证非正常上访人员及时离京，消除影响</w:t>
            </w:r>
          </w:p>
          <w:p>
            <w:pPr>
              <w:spacing w:line="320" w:lineRule="exact"/>
              <w:rPr>
                <w:rFonts w:ascii="宋体" w:hAnsi="宋体" w:cs="宋体"/>
                <w:sz w:val="18"/>
                <w:szCs w:val="18"/>
              </w:rPr>
            </w:pPr>
          </w:p>
          <w:p>
            <w:pPr>
              <w:spacing w:line="320" w:lineRule="exact"/>
              <w:ind w:firstLine="361"/>
              <w:rPr>
                <w:rFonts w:ascii="宋体" w:hAnsi="宋体" w:cs="宋体"/>
                <w:sz w:val="18"/>
                <w:szCs w:val="18"/>
              </w:rPr>
            </w:pPr>
          </w:p>
        </w:tc>
        <w:tc>
          <w:tcPr>
            <w:tcW w:w="3909" w:type="dxa"/>
            <w:gridSpan w:val="5"/>
          </w:tcPr>
          <w:p>
            <w:pPr>
              <w:spacing w:line="320" w:lineRule="exact"/>
              <w:ind w:firstLine="361"/>
              <w:rPr>
                <w:rFonts w:ascii="宋体" w:hAnsi="宋体" w:cs="宋体"/>
                <w:sz w:val="18"/>
                <w:szCs w:val="18"/>
              </w:rPr>
            </w:pPr>
            <w:r>
              <w:rPr>
                <w:rFonts w:hint="eastAsia" w:ascii="宋体" w:hAnsi="宋体" w:cs="宋体"/>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vAlign w:val="center"/>
          </w:tcPr>
          <w:p>
            <w:pPr>
              <w:spacing w:line="360" w:lineRule="exact"/>
              <w:rPr>
                <w:rFonts w:ascii="宋体" w:hAnsi="宋体" w:cs="宋体"/>
                <w:sz w:val="18"/>
                <w:szCs w:val="18"/>
              </w:rPr>
            </w:pPr>
            <w:r>
              <w:rPr>
                <w:rFonts w:hint="eastAsia" w:ascii="宋体" w:hAnsi="宋体" w:cs="宋体"/>
                <w:sz w:val="18"/>
                <w:szCs w:val="18"/>
              </w:rPr>
              <w:t>绩</w:t>
            </w:r>
          </w:p>
          <w:p>
            <w:pPr>
              <w:spacing w:line="360" w:lineRule="exact"/>
              <w:rPr>
                <w:rFonts w:ascii="宋体" w:hAnsi="宋体" w:cs="宋体"/>
                <w:sz w:val="18"/>
                <w:szCs w:val="18"/>
              </w:rPr>
            </w:pPr>
            <w:r>
              <w:rPr>
                <w:rFonts w:hint="eastAsia" w:ascii="宋体" w:hAnsi="宋体" w:cs="宋体"/>
                <w:sz w:val="18"/>
                <w:szCs w:val="18"/>
              </w:rPr>
              <w:t>效</w:t>
            </w:r>
          </w:p>
          <w:p>
            <w:pPr>
              <w:spacing w:line="360" w:lineRule="exact"/>
              <w:rPr>
                <w:rFonts w:ascii="宋体" w:hAnsi="宋体" w:cs="宋体"/>
                <w:sz w:val="18"/>
                <w:szCs w:val="18"/>
              </w:rPr>
            </w:pPr>
            <w:r>
              <w:rPr>
                <w:rFonts w:hint="eastAsia" w:ascii="宋体" w:hAnsi="宋体" w:cs="宋体"/>
                <w:sz w:val="18"/>
                <w:szCs w:val="18"/>
              </w:rPr>
              <w:t>指</w:t>
            </w:r>
          </w:p>
          <w:p>
            <w:pPr>
              <w:spacing w:line="360" w:lineRule="exact"/>
              <w:rPr>
                <w:rFonts w:ascii="宋体" w:hAnsi="宋体" w:cs="宋体"/>
                <w:sz w:val="18"/>
                <w:szCs w:val="18"/>
              </w:rPr>
            </w:pPr>
            <w:r>
              <w:rPr>
                <w:rFonts w:hint="eastAsia" w:ascii="宋体" w:hAnsi="宋体" w:cs="宋体"/>
                <w:sz w:val="18"/>
                <w:szCs w:val="18"/>
              </w:rPr>
              <w:t>标</w:t>
            </w:r>
          </w:p>
        </w:tc>
        <w:tc>
          <w:tcPr>
            <w:tcW w:w="648" w:type="dxa"/>
            <w:vAlign w:val="center"/>
          </w:tcPr>
          <w:p>
            <w:pPr>
              <w:spacing w:line="360" w:lineRule="exact"/>
              <w:rPr>
                <w:rFonts w:ascii="宋体" w:hAnsi="宋体" w:cs="宋体"/>
                <w:sz w:val="18"/>
                <w:szCs w:val="18"/>
              </w:rPr>
            </w:pPr>
            <w:r>
              <w:rPr>
                <w:rFonts w:hint="eastAsia" w:ascii="宋体" w:hAnsi="宋体" w:cs="宋体"/>
                <w:sz w:val="18"/>
                <w:szCs w:val="18"/>
              </w:rPr>
              <w:t>一级</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二级指标</w:t>
            </w:r>
          </w:p>
        </w:tc>
        <w:tc>
          <w:tcPr>
            <w:tcW w:w="2546" w:type="dxa"/>
            <w:gridSpan w:val="2"/>
            <w:vAlign w:val="center"/>
          </w:tcPr>
          <w:p>
            <w:pPr>
              <w:spacing w:line="360" w:lineRule="exact"/>
              <w:ind w:firstLine="900" w:firstLineChars="500"/>
              <w:rPr>
                <w:rFonts w:ascii="宋体" w:hAnsi="宋体" w:cs="宋体"/>
                <w:sz w:val="18"/>
                <w:szCs w:val="18"/>
              </w:rPr>
            </w:pPr>
            <w:r>
              <w:rPr>
                <w:rFonts w:hint="eastAsia" w:ascii="宋体" w:hAnsi="宋体" w:cs="宋体"/>
                <w:sz w:val="18"/>
                <w:szCs w:val="18"/>
              </w:rPr>
              <w:t>三级指标</w:t>
            </w:r>
          </w:p>
        </w:tc>
        <w:tc>
          <w:tcPr>
            <w:tcW w:w="1415" w:type="dxa"/>
            <w:gridSpan w:val="2"/>
            <w:vAlign w:val="center"/>
          </w:tcPr>
          <w:p>
            <w:pPr>
              <w:spacing w:line="360" w:lineRule="exact"/>
              <w:rPr>
                <w:rFonts w:ascii="宋体" w:hAnsi="宋体" w:cs="宋体"/>
                <w:sz w:val="18"/>
                <w:szCs w:val="18"/>
              </w:rPr>
            </w:pPr>
            <w:r>
              <w:rPr>
                <w:rFonts w:hint="eastAsia" w:ascii="宋体" w:hAnsi="宋体" w:cs="宋体"/>
                <w:sz w:val="18"/>
                <w:szCs w:val="18"/>
              </w:rPr>
              <w:t>年度指标值</w:t>
            </w:r>
          </w:p>
        </w:tc>
        <w:tc>
          <w:tcPr>
            <w:tcW w:w="1295" w:type="dxa"/>
            <w:gridSpan w:val="2"/>
            <w:vAlign w:val="center"/>
          </w:tcPr>
          <w:p>
            <w:pPr>
              <w:spacing w:line="360" w:lineRule="exact"/>
              <w:rPr>
                <w:rFonts w:ascii="宋体" w:hAnsi="宋体" w:cs="宋体"/>
                <w:sz w:val="18"/>
                <w:szCs w:val="18"/>
              </w:rPr>
            </w:pPr>
            <w:r>
              <w:rPr>
                <w:rFonts w:hint="eastAsia" w:ascii="宋体" w:hAnsi="宋体" w:cs="宋体"/>
                <w:sz w:val="18"/>
                <w:szCs w:val="18"/>
              </w:rPr>
              <w:t>全年完成值</w:t>
            </w:r>
          </w:p>
        </w:tc>
        <w:tc>
          <w:tcPr>
            <w:tcW w:w="1199" w:type="dxa"/>
            <w:vAlign w:val="center"/>
          </w:tcPr>
          <w:p>
            <w:pPr>
              <w:spacing w:line="360" w:lineRule="exact"/>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restart"/>
            <w:vAlign w:val="center"/>
          </w:tcPr>
          <w:p>
            <w:pPr>
              <w:spacing w:line="360" w:lineRule="exact"/>
              <w:rPr>
                <w:rFonts w:ascii="宋体" w:hAnsi="宋体" w:cs="宋体"/>
                <w:sz w:val="18"/>
                <w:szCs w:val="18"/>
              </w:rPr>
            </w:pPr>
            <w:r>
              <w:rPr>
                <w:rFonts w:hint="eastAsia" w:ascii="宋体" w:hAnsi="宋体" w:cs="宋体"/>
                <w:sz w:val="18"/>
                <w:szCs w:val="18"/>
              </w:rPr>
              <w:t>产出</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vAlign w:val="center"/>
          </w:tcPr>
          <w:p>
            <w:pPr>
              <w:spacing w:line="360" w:lineRule="exact"/>
              <w:rPr>
                <w:rFonts w:ascii="宋体" w:hAnsi="宋体" w:cs="宋体"/>
                <w:sz w:val="18"/>
                <w:szCs w:val="18"/>
              </w:rPr>
            </w:pPr>
            <w:r>
              <w:rPr>
                <w:rFonts w:hint="eastAsia" w:ascii="宋体" w:hAnsi="宋体" w:cs="宋体"/>
                <w:sz w:val="18"/>
                <w:szCs w:val="18"/>
              </w:rPr>
              <w:t>数量指标</w:t>
            </w:r>
          </w:p>
        </w:tc>
        <w:tc>
          <w:tcPr>
            <w:tcW w:w="2546" w:type="dxa"/>
            <w:gridSpan w:val="2"/>
          </w:tcPr>
          <w:p>
            <w:pPr>
              <w:spacing w:line="360" w:lineRule="exact"/>
              <w:rPr>
                <w:rFonts w:ascii="宋体" w:hAnsi="宋体" w:cs="宋体"/>
                <w:sz w:val="18"/>
                <w:szCs w:val="18"/>
              </w:rPr>
            </w:pPr>
            <w:r>
              <w:rPr>
                <w:rFonts w:hint="eastAsia" w:ascii="宋体" w:hAnsi="宋体" w:cs="宋体"/>
                <w:sz w:val="18"/>
                <w:szCs w:val="18"/>
              </w:rPr>
              <w:t xml:space="preserve">    驻京长效机制</w:t>
            </w:r>
          </w:p>
        </w:tc>
        <w:tc>
          <w:tcPr>
            <w:tcW w:w="1415" w:type="dxa"/>
            <w:gridSpan w:val="2"/>
          </w:tcPr>
          <w:p>
            <w:pPr>
              <w:spacing w:line="360" w:lineRule="exact"/>
              <w:rPr>
                <w:rFonts w:ascii="宋体" w:hAnsi="宋体" w:cs="宋体"/>
                <w:sz w:val="18"/>
                <w:szCs w:val="18"/>
              </w:rPr>
            </w:pPr>
            <w:r>
              <w:rPr>
                <w:rFonts w:hint="eastAsia" w:ascii="宋体" w:hAnsi="宋体" w:cs="宋体"/>
                <w:sz w:val="18"/>
                <w:szCs w:val="18"/>
              </w:rPr>
              <w:t xml:space="preserve"> 20</w:t>
            </w:r>
          </w:p>
        </w:tc>
        <w:tc>
          <w:tcPr>
            <w:tcW w:w="1295" w:type="dxa"/>
            <w:gridSpan w:val="2"/>
          </w:tcPr>
          <w:p>
            <w:pPr>
              <w:spacing w:line="360" w:lineRule="exact"/>
              <w:rPr>
                <w:rFonts w:ascii="宋体" w:hAnsi="宋体" w:cs="宋体"/>
                <w:sz w:val="18"/>
                <w:szCs w:val="18"/>
              </w:rPr>
            </w:pPr>
            <w:r>
              <w:rPr>
                <w:rFonts w:hint="eastAsia" w:ascii="宋体" w:hAnsi="宋体" w:cs="宋体"/>
                <w:sz w:val="18"/>
                <w:szCs w:val="18"/>
              </w:rPr>
              <w:t xml:space="preserve">  20  </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Merge w:val="continue"/>
            <w:vAlign w:val="center"/>
          </w:tcPr>
          <w:p>
            <w:pPr>
              <w:spacing w:line="360" w:lineRule="exact"/>
              <w:ind w:firstLine="361"/>
              <w:jc w:val="center"/>
              <w:rPr>
                <w:rFonts w:ascii="宋体" w:hAnsi="宋体" w:cs="宋体"/>
                <w:sz w:val="18"/>
                <w:szCs w:val="18"/>
              </w:rPr>
            </w:pPr>
          </w:p>
        </w:tc>
        <w:tc>
          <w:tcPr>
            <w:tcW w:w="2546" w:type="dxa"/>
            <w:gridSpan w:val="2"/>
          </w:tcPr>
          <w:p>
            <w:pPr>
              <w:spacing w:line="360" w:lineRule="exact"/>
              <w:ind w:firstLine="361"/>
              <w:rPr>
                <w:rFonts w:ascii="宋体" w:hAnsi="宋体" w:cs="宋体"/>
                <w:sz w:val="18"/>
                <w:szCs w:val="18"/>
              </w:rPr>
            </w:pPr>
          </w:p>
        </w:tc>
        <w:tc>
          <w:tcPr>
            <w:tcW w:w="1415" w:type="dxa"/>
            <w:gridSpan w:val="2"/>
          </w:tcPr>
          <w:p>
            <w:pPr>
              <w:spacing w:line="360" w:lineRule="exact"/>
              <w:ind w:firstLine="361"/>
              <w:rPr>
                <w:rFonts w:ascii="宋体" w:hAnsi="宋体" w:cs="宋体"/>
                <w:sz w:val="18"/>
                <w:szCs w:val="18"/>
              </w:rPr>
            </w:pPr>
          </w:p>
        </w:tc>
        <w:tc>
          <w:tcPr>
            <w:tcW w:w="1295" w:type="dxa"/>
            <w:gridSpan w:val="2"/>
          </w:tcPr>
          <w:p>
            <w:pPr>
              <w:spacing w:line="360" w:lineRule="exact"/>
              <w:ind w:firstLine="361"/>
              <w:rPr>
                <w:rFonts w:ascii="宋体" w:hAnsi="宋体" w:cs="宋体"/>
                <w:sz w:val="18"/>
                <w:szCs w:val="18"/>
              </w:rPr>
            </w:pP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Merge w:val="continue"/>
            <w:vAlign w:val="center"/>
          </w:tcPr>
          <w:p>
            <w:pPr>
              <w:spacing w:line="360" w:lineRule="exact"/>
              <w:ind w:firstLine="361"/>
              <w:jc w:val="center"/>
              <w:rPr>
                <w:rFonts w:ascii="宋体" w:hAnsi="宋体" w:cs="宋体"/>
                <w:sz w:val="18"/>
                <w:szCs w:val="18"/>
              </w:rPr>
            </w:pPr>
          </w:p>
        </w:tc>
        <w:tc>
          <w:tcPr>
            <w:tcW w:w="2546" w:type="dxa"/>
            <w:gridSpan w:val="2"/>
          </w:tcPr>
          <w:p>
            <w:pPr>
              <w:spacing w:line="360" w:lineRule="exact"/>
              <w:ind w:firstLine="361"/>
              <w:rPr>
                <w:rFonts w:ascii="宋体" w:hAnsi="宋体" w:cs="宋体"/>
                <w:sz w:val="18"/>
                <w:szCs w:val="18"/>
              </w:rPr>
            </w:pPr>
          </w:p>
        </w:tc>
        <w:tc>
          <w:tcPr>
            <w:tcW w:w="1415" w:type="dxa"/>
            <w:gridSpan w:val="2"/>
          </w:tcPr>
          <w:p>
            <w:pPr>
              <w:spacing w:line="360" w:lineRule="exact"/>
              <w:ind w:firstLine="361"/>
              <w:rPr>
                <w:rFonts w:ascii="宋体" w:hAnsi="宋体" w:cs="宋体"/>
                <w:sz w:val="18"/>
                <w:szCs w:val="18"/>
              </w:rPr>
            </w:pPr>
          </w:p>
        </w:tc>
        <w:tc>
          <w:tcPr>
            <w:tcW w:w="1295" w:type="dxa"/>
            <w:gridSpan w:val="2"/>
          </w:tcPr>
          <w:p>
            <w:pPr>
              <w:spacing w:line="360" w:lineRule="exact"/>
              <w:ind w:firstLine="361"/>
              <w:rPr>
                <w:rFonts w:ascii="宋体" w:hAnsi="宋体" w:cs="宋体"/>
                <w:sz w:val="18"/>
                <w:szCs w:val="18"/>
              </w:rPr>
            </w:pP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质量指标</w:t>
            </w:r>
          </w:p>
        </w:tc>
        <w:tc>
          <w:tcPr>
            <w:tcW w:w="2546" w:type="dxa"/>
            <w:gridSpan w:val="2"/>
          </w:tcPr>
          <w:p>
            <w:pPr>
              <w:spacing w:line="360" w:lineRule="exact"/>
              <w:ind w:firstLine="360" w:firstLineChars="200"/>
              <w:rPr>
                <w:rFonts w:ascii="宋体" w:hAnsi="宋体" w:cs="宋体"/>
                <w:sz w:val="18"/>
                <w:szCs w:val="18"/>
              </w:rPr>
            </w:pPr>
            <w:r>
              <w:rPr>
                <w:rFonts w:hint="eastAsia" w:ascii="宋体" w:hAnsi="宋体" w:cs="宋体"/>
                <w:sz w:val="18"/>
                <w:szCs w:val="18"/>
              </w:rPr>
              <w:t>驻京长效机制</w:t>
            </w:r>
          </w:p>
        </w:tc>
        <w:tc>
          <w:tcPr>
            <w:tcW w:w="1415" w:type="dxa"/>
            <w:gridSpan w:val="2"/>
          </w:tcPr>
          <w:p>
            <w:pPr>
              <w:spacing w:line="360" w:lineRule="exact"/>
              <w:rPr>
                <w:rFonts w:ascii="宋体" w:hAnsi="宋体" w:cs="宋体"/>
                <w:sz w:val="18"/>
                <w:szCs w:val="18"/>
              </w:rPr>
            </w:pPr>
            <w:r>
              <w:rPr>
                <w:rFonts w:hint="eastAsia" w:ascii="宋体" w:hAnsi="宋体" w:cs="宋体"/>
                <w:sz w:val="18"/>
                <w:szCs w:val="18"/>
              </w:rPr>
              <w:t xml:space="preserve"> 机构运转</w:t>
            </w:r>
          </w:p>
        </w:tc>
        <w:tc>
          <w:tcPr>
            <w:tcW w:w="1295" w:type="dxa"/>
            <w:gridSpan w:val="2"/>
          </w:tcPr>
          <w:p>
            <w:pPr>
              <w:spacing w:line="360" w:lineRule="exact"/>
              <w:rPr>
                <w:rFonts w:ascii="宋体" w:hAnsi="宋体" w:cs="宋体"/>
                <w:sz w:val="18"/>
                <w:szCs w:val="18"/>
              </w:rPr>
            </w:pPr>
            <w:r>
              <w:rPr>
                <w:rFonts w:hint="eastAsia" w:ascii="宋体" w:hAnsi="宋体" w:cs="宋体"/>
                <w:sz w:val="18"/>
                <w:szCs w:val="18"/>
              </w:rPr>
              <w:t xml:space="preserve"> 正常运转</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restart"/>
            <w:vAlign w:val="center"/>
          </w:tcPr>
          <w:p>
            <w:pPr>
              <w:spacing w:line="360" w:lineRule="exact"/>
              <w:rPr>
                <w:rFonts w:ascii="宋体" w:hAnsi="宋体" w:cs="宋体"/>
                <w:sz w:val="18"/>
                <w:szCs w:val="18"/>
              </w:rPr>
            </w:pPr>
            <w:r>
              <w:rPr>
                <w:rFonts w:hint="eastAsia" w:ascii="宋体" w:hAnsi="宋体" w:cs="宋体"/>
                <w:sz w:val="18"/>
                <w:szCs w:val="18"/>
              </w:rPr>
              <w:t>效益</w:t>
            </w:r>
          </w:p>
          <w:p>
            <w:pPr>
              <w:spacing w:line="360" w:lineRule="exact"/>
              <w:rPr>
                <w:rFonts w:ascii="宋体" w:hAnsi="宋体" w:cs="宋体"/>
                <w:sz w:val="18"/>
                <w:szCs w:val="18"/>
              </w:rPr>
            </w:pPr>
            <w:r>
              <w:rPr>
                <w:rFonts w:hint="eastAsia" w:ascii="宋体" w:hAnsi="宋体" w:cs="宋体"/>
                <w:sz w:val="18"/>
                <w:szCs w:val="18"/>
              </w:rPr>
              <w:t>指标</w:t>
            </w:r>
          </w:p>
        </w:tc>
        <w:tc>
          <w:tcPr>
            <w:tcW w:w="1200" w:type="dxa"/>
            <w:gridSpan w:val="2"/>
            <w:vMerge w:val="restart"/>
            <w:vAlign w:val="center"/>
          </w:tcPr>
          <w:p>
            <w:pPr>
              <w:spacing w:line="360" w:lineRule="exact"/>
              <w:rPr>
                <w:rFonts w:ascii="宋体" w:hAnsi="宋体" w:cs="宋体"/>
                <w:sz w:val="18"/>
                <w:szCs w:val="18"/>
              </w:rPr>
            </w:pPr>
            <w:r>
              <w:rPr>
                <w:rFonts w:hint="eastAsia" w:ascii="宋体" w:hAnsi="宋体" w:cs="宋体"/>
                <w:sz w:val="18"/>
                <w:szCs w:val="18"/>
              </w:rPr>
              <w:t>社会效益</w:t>
            </w:r>
          </w:p>
          <w:p>
            <w:pPr>
              <w:spacing w:line="360" w:lineRule="exact"/>
              <w:rPr>
                <w:rFonts w:ascii="宋体" w:hAnsi="宋体" w:cs="宋体"/>
                <w:sz w:val="18"/>
                <w:szCs w:val="18"/>
              </w:rPr>
            </w:pPr>
            <w:r>
              <w:rPr>
                <w:rFonts w:hint="eastAsia" w:ascii="宋体" w:hAnsi="宋体" w:cs="宋体"/>
                <w:sz w:val="18"/>
                <w:szCs w:val="18"/>
              </w:rPr>
              <w:t>指标</w:t>
            </w:r>
          </w:p>
        </w:tc>
        <w:tc>
          <w:tcPr>
            <w:tcW w:w="2546" w:type="dxa"/>
            <w:gridSpan w:val="2"/>
          </w:tcPr>
          <w:p>
            <w:pPr>
              <w:spacing w:line="360" w:lineRule="exact"/>
              <w:ind w:firstLine="361"/>
              <w:rPr>
                <w:rFonts w:ascii="宋体" w:hAnsi="宋体" w:cs="宋体"/>
                <w:sz w:val="18"/>
                <w:szCs w:val="18"/>
              </w:rPr>
            </w:pPr>
            <w:r>
              <w:rPr>
                <w:rFonts w:hint="eastAsia" w:ascii="宋体" w:hAnsi="宋体" w:cs="宋体"/>
                <w:sz w:val="18"/>
                <w:szCs w:val="18"/>
              </w:rPr>
              <w:t>驻京长效机制</w:t>
            </w:r>
          </w:p>
        </w:tc>
        <w:tc>
          <w:tcPr>
            <w:tcW w:w="1415" w:type="dxa"/>
            <w:gridSpan w:val="2"/>
          </w:tcPr>
          <w:p>
            <w:pPr>
              <w:spacing w:line="360" w:lineRule="exact"/>
              <w:rPr>
                <w:rFonts w:ascii="宋体" w:hAnsi="宋体" w:cs="宋体"/>
                <w:sz w:val="18"/>
                <w:szCs w:val="18"/>
              </w:rPr>
            </w:pPr>
            <w:r>
              <w:rPr>
                <w:rFonts w:hint="eastAsia" w:ascii="宋体" w:hAnsi="宋体" w:cs="宋体"/>
                <w:sz w:val="18"/>
                <w:szCs w:val="18"/>
              </w:rPr>
              <w:t>社会和谐稳定</w:t>
            </w:r>
          </w:p>
        </w:tc>
        <w:tc>
          <w:tcPr>
            <w:tcW w:w="1295" w:type="dxa"/>
            <w:gridSpan w:val="2"/>
          </w:tcPr>
          <w:p>
            <w:pPr>
              <w:spacing w:line="360" w:lineRule="exact"/>
              <w:ind w:firstLine="180" w:firstLineChars="100"/>
              <w:rPr>
                <w:rFonts w:ascii="宋体" w:hAnsi="宋体" w:cs="宋体"/>
                <w:sz w:val="18"/>
                <w:szCs w:val="18"/>
              </w:rPr>
            </w:pPr>
            <w:r>
              <w:rPr>
                <w:rFonts w:hint="eastAsia" w:ascii="宋体" w:hAnsi="宋体" w:cs="宋体"/>
                <w:sz w:val="18"/>
                <w:szCs w:val="18"/>
              </w:rPr>
              <w:t>完成</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Merge w:val="continue"/>
            <w:vAlign w:val="center"/>
          </w:tcPr>
          <w:p>
            <w:pPr>
              <w:spacing w:line="360" w:lineRule="exact"/>
              <w:ind w:firstLine="361"/>
              <w:jc w:val="center"/>
              <w:rPr>
                <w:rFonts w:ascii="宋体" w:hAnsi="宋体" w:cs="宋体"/>
                <w:sz w:val="18"/>
                <w:szCs w:val="18"/>
              </w:rPr>
            </w:pPr>
          </w:p>
        </w:tc>
        <w:tc>
          <w:tcPr>
            <w:tcW w:w="2546" w:type="dxa"/>
            <w:gridSpan w:val="2"/>
          </w:tcPr>
          <w:p>
            <w:pPr>
              <w:spacing w:line="360" w:lineRule="exact"/>
              <w:ind w:firstLine="361"/>
              <w:rPr>
                <w:rFonts w:ascii="宋体" w:hAnsi="宋体" w:cs="宋体"/>
                <w:sz w:val="18"/>
                <w:szCs w:val="18"/>
              </w:rPr>
            </w:pPr>
          </w:p>
        </w:tc>
        <w:tc>
          <w:tcPr>
            <w:tcW w:w="1415" w:type="dxa"/>
            <w:gridSpan w:val="2"/>
          </w:tcPr>
          <w:p>
            <w:pPr>
              <w:spacing w:line="360" w:lineRule="exact"/>
              <w:ind w:firstLine="361"/>
              <w:rPr>
                <w:rFonts w:ascii="宋体" w:hAnsi="宋体" w:cs="宋体"/>
                <w:sz w:val="18"/>
                <w:szCs w:val="18"/>
              </w:rPr>
            </w:pPr>
          </w:p>
        </w:tc>
        <w:tc>
          <w:tcPr>
            <w:tcW w:w="1295" w:type="dxa"/>
            <w:gridSpan w:val="2"/>
          </w:tcPr>
          <w:p>
            <w:pPr>
              <w:spacing w:line="360" w:lineRule="exact"/>
              <w:ind w:firstLine="540" w:firstLineChars="300"/>
              <w:rPr>
                <w:rFonts w:ascii="宋体" w:hAnsi="宋体" w:cs="宋体"/>
                <w:sz w:val="18"/>
                <w:szCs w:val="18"/>
              </w:rPr>
            </w:pP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Merge w:val="continue"/>
            <w:vAlign w:val="center"/>
          </w:tcPr>
          <w:p>
            <w:pPr>
              <w:spacing w:line="360" w:lineRule="exact"/>
              <w:ind w:firstLine="361"/>
              <w:jc w:val="center"/>
              <w:rPr>
                <w:rFonts w:ascii="宋体" w:hAnsi="宋体" w:cs="宋体"/>
                <w:sz w:val="18"/>
                <w:szCs w:val="18"/>
              </w:rPr>
            </w:pPr>
          </w:p>
        </w:tc>
        <w:tc>
          <w:tcPr>
            <w:tcW w:w="1200" w:type="dxa"/>
            <w:gridSpan w:val="2"/>
            <w:vMerge w:val="continue"/>
            <w:vAlign w:val="center"/>
          </w:tcPr>
          <w:p>
            <w:pPr>
              <w:spacing w:line="360" w:lineRule="exact"/>
              <w:ind w:firstLine="361"/>
              <w:jc w:val="center"/>
              <w:rPr>
                <w:rFonts w:ascii="宋体" w:hAnsi="宋体" w:cs="宋体"/>
                <w:sz w:val="18"/>
                <w:szCs w:val="18"/>
              </w:rPr>
            </w:pPr>
          </w:p>
        </w:tc>
        <w:tc>
          <w:tcPr>
            <w:tcW w:w="2546" w:type="dxa"/>
            <w:gridSpan w:val="2"/>
          </w:tcPr>
          <w:p>
            <w:pPr>
              <w:spacing w:line="360" w:lineRule="exact"/>
              <w:ind w:firstLine="361"/>
              <w:rPr>
                <w:rFonts w:ascii="宋体" w:hAnsi="宋体" w:cs="宋体"/>
                <w:sz w:val="18"/>
                <w:szCs w:val="18"/>
              </w:rPr>
            </w:pPr>
          </w:p>
        </w:tc>
        <w:tc>
          <w:tcPr>
            <w:tcW w:w="1415" w:type="dxa"/>
            <w:gridSpan w:val="2"/>
          </w:tcPr>
          <w:p>
            <w:pPr>
              <w:spacing w:line="360" w:lineRule="exact"/>
              <w:ind w:firstLine="361"/>
              <w:rPr>
                <w:rFonts w:ascii="宋体" w:hAnsi="宋体" w:cs="宋体"/>
                <w:sz w:val="18"/>
                <w:szCs w:val="18"/>
              </w:rPr>
            </w:pPr>
          </w:p>
        </w:tc>
        <w:tc>
          <w:tcPr>
            <w:tcW w:w="1295" w:type="dxa"/>
            <w:gridSpan w:val="2"/>
          </w:tcPr>
          <w:p>
            <w:pPr>
              <w:spacing w:line="360" w:lineRule="exact"/>
              <w:ind w:firstLine="540" w:firstLineChars="300"/>
              <w:rPr>
                <w:rFonts w:ascii="宋体" w:hAnsi="宋体" w:cs="宋体"/>
                <w:sz w:val="18"/>
                <w:szCs w:val="18"/>
              </w:rPr>
            </w:pP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continue"/>
            <w:vAlign w:val="center"/>
          </w:tcPr>
          <w:p>
            <w:pPr>
              <w:spacing w:line="360" w:lineRule="exact"/>
              <w:ind w:firstLine="361"/>
              <w:jc w:val="center"/>
              <w:rPr>
                <w:rFonts w:ascii="宋体" w:hAnsi="宋体" w:cs="宋体"/>
                <w:sz w:val="18"/>
                <w:szCs w:val="18"/>
              </w:rPr>
            </w:pPr>
          </w:p>
        </w:tc>
        <w:tc>
          <w:tcPr>
            <w:tcW w:w="648" w:type="dxa"/>
            <w:vAlign w:val="center"/>
          </w:tcPr>
          <w:p>
            <w:pPr>
              <w:spacing w:line="360" w:lineRule="exact"/>
              <w:rPr>
                <w:rFonts w:ascii="宋体" w:hAnsi="宋体" w:cs="宋体"/>
                <w:sz w:val="18"/>
                <w:szCs w:val="18"/>
              </w:rPr>
            </w:pPr>
            <w:r>
              <w:rPr>
                <w:rFonts w:hint="eastAsia" w:ascii="宋体" w:hAnsi="宋体" w:cs="宋体"/>
                <w:sz w:val="18"/>
                <w:szCs w:val="18"/>
              </w:rPr>
              <w:t>满意度指标</w:t>
            </w:r>
          </w:p>
        </w:tc>
        <w:tc>
          <w:tcPr>
            <w:tcW w:w="1200" w:type="dxa"/>
            <w:gridSpan w:val="2"/>
            <w:vAlign w:val="center"/>
          </w:tcPr>
          <w:p>
            <w:pPr>
              <w:spacing w:line="360" w:lineRule="exact"/>
              <w:rPr>
                <w:rFonts w:ascii="宋体" w:hAnsi="宋体" w:cs="宋体"/>
                <w:sz w:val="18"/>
                <w:szCs w:val="18"/>
              </w:rPr>
            </w:pPr>
            <w:r>
              <w:rPr>
                <w:rFonts w:hint="eastAsia" w:ascii="宋体" w:hAnsi="宋体" w:cs="宋体"/>
                <w:sz w:val="18"/>
                <w:szCs w:val="18"/>
              </w:rPr>
              <w:t>服务对象满意度指标</w:t>
            </w:r>
          </w:p>
        </w:tc>
        <w:tc>
          <w:tcPr>
            <w:tcW w:w="2546" w:type="dxa"/>
            <w:gridSpan w:val="2"/>
          </w:tcPr>
          <w:p>
            <w:pPr>
              <w:spacing w:line="360" w:lineRule="exact"/>
              <w:ind w:firstLine="360" w:firstLineChars="200"/>
              <w:rPr>
                <w:rFonts w:ascii="宋体" w:hAnsi="宋体" w:cs="宋体"/>
                <w:sz w:val="18"/>
                <w:szCs w:val="18"/>
              </w:rPr>
            </w:pPr>
            <w:r>
              <w:rPr>
                <w:rFonts w:hint="eastAsia" w:ascii="宋体" w:hAnsi="宋体" w:cs="宋体"/>
                <w:sz w:val="18"/>
                <w:szCs w:val="18"/>
              </w:rPr>
              <w:t>驻京长效机制</w:t>
            </w:r>
          </w:p>
        </w:tc>
        <w:tc>
          <w:tcPr>
            <w:tcW w:w="1415" w:type="dxa"/>
            <w:gridSpan w:val="2"/>
          </w:tcPr>
          <w:p>
            <w:pPr>
              <w:spacing w:line="360" w:lineRule="exact"/>
              <w:ind w:firstLine="180" w:firstLineChars="100"/>
              <w:rPr>
                <w:rFonts w:ascii="宋体" w:hAnsi="宋体" w:cs="宋体"/>
                <w:sz w:val="18"/>
                <w:szCs w:val="18"/>
              </w:rPr>
            </w:pPr>
            <w:r>
              <w:rPr>
                <w:rFonts w:hint="eastAsia" w:ascii="宋体" w:hAnsi="宋体" w:cs="宋体"/>
                <w:sz w:val="18"/>
                <w:szCs w:val="18"/>
              </w:rPr>
              <w:t>满意度80%</w:t>
            </w:r>
          </w:p>
        </w:tc>
        <w:tc>
          <w:tcPr>
            <w:tcW w:w="1295" w:type="dxa"/>
            <w:gridSpan w:val="2"/>
          </w:tcPr>
          <w:p>
            <w:pPr>
              <w:spacing w:line="360" w:lineRule="exact"/>
              <w:ind w:firstLine="180" w:firstLineChars="100"/>
              <w:rPr>
                <w:rFonts w:ascii="宋体" w:hAnsi="宋体" w:cs="宋体"/>
                <w:sz w:val="18"/>
                <w:szCs w:val="18"/>
              </w:rPr>
            </w:pPr>
            <w:r>
              <w:rPr>
                <w:rFonts w:hint="eastAsia" w:ascii="宋体" w:hAnsi="宋体" w:cs="宋体"/>
                <w:sz w:val="18"/>
                <w:szCs w:val="18"/>
              </w:rPr>
              <w:t>满意度85%</w:t>
            </w:r>
          </w:p>
        </w:tc>
        <w:tc>
          <w:tcPr>
            <w:tcW w:w="1199" w:type="dxa"/>
          </w:tcPr>
          <w:p>
            <w:pPr>
              <w:spacing w:line="360" w:lineRule="exact"/>
              <w:ind w:firstLine="361"/>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vAlign w:val="center"/>
          </w:tcPr>
          <w:p>
            <w:pPr>
              <w:spacing w:line="300" w:lineRule="exact"/>
              <w:rPr>
                <w:rFonts w:ascii="宋体" w:hAnsi="宋体" w:cs="宋体"/>
                <w:sz w:val="18"/>
                <w:szCs w:val="18"/>
              </w:rPr>
            </w:pPr>
            <w:r>
              <w:rPr>
                <w:rFonts w:hint="eastAsia" w:ascii="宋体" w:hAnsi="宋体" w:cs="宋体"/>
                <w:sz w:val="18"/>
                <w:szCs w:val="18"/>
              </w:rPr>
              <w:t>说明</w:t>
            </w:r>
          </w:p>
        </w:tc>
        <w:tc>
          <w:tcPr>
            <w:tcW w:w="8303" w:type="dxa"/>
            <w:gridSpan w:val="10"/>
            <w:vAlign w:val="center"/>
          </w:tcPr>
          <w:p>
            <w:pPr>
              <w:spacing w:line="300" w:lineRule="exact"/>
              <w:ind w:firstLine="361"/>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4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400" w:lineRule="exact"/>
        <w:ind w:left="579" w:leftChars="190" w:hanging="180" w:hangingChars="100"/>
        <w:rPr>
          <w:rFonts w:ascii="宋体" w:hAnsi="宋体" w:cs="宋体"/>
          <w:sz w:val="18"/>
          <w:szCs w:val="18"/>
        </w:r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ascii="宋体" w:hAnsi="宋体" w:cs="宋体"/>
          <w:sz w:val="30"/>
          <w:szCs w:val="30"/>
        </w:rPr>
      </w:pPr>
      <w:r>
        <w:rPr>
          <w:rFonts w:hint="eastAsia" w:ascii="宋体" w:hAnsi="宋体" w:cs="宋体"/>
          <w:sz w:val="30"/>
          <w:szCs w:val="30"/>
        </w:rPr>
        <w:t>（2020年度）</w:t>
      </w:r>
    </w:p>
    <w:tbl>
      <w:tblPr>
        <w:tblStyle w:val="8"/>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782"/>
        <w:gridCol w:w="375"/>
        <w:gridCol w:w="825"/>
        <w:gridCol w:w="1114"/>
        <w:gridCol w:w="1552"/>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专项（项目）名称</w:t>
            </w:r>
          </w:p>
        </w:tc>
        <w:tc>
          <w:tcPr>
            <w:tcW w:w="7135" w:type="dxa"/>
            <w:gridSpan w:val="8"/>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通用项目——信访局办公场所租赁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主管部门</w:t>
            </w:r>
          </w:p>
        </w:tc>
        <w:tc>
          <w:tcPr>
            <w:tcW w:w="3491"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陕西省信访局</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实施单位</w:t>
            </w:r>
          </w:p>
        </w:tc>
        <w:tc>
          <w:tcPr>
            <w:tcW w:w="253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镇安县信访局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项目资金</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（万元）</w:t>
            </w:r>
          </w:p>
        </w:tc>
        <w:tc>
          <w:tcPr>
            <w:tcW w:w="1939"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552"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全年预算数（A）</w:t>
            </w:r>
          </w:p>
        </w:tc>
        <w:tc>
          <w:tcPr>
            <w:tcW w:w="207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全年执行数（B）</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736" w:type="dxa"/>
            <w:gridSpan w:val="3"/>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939"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年度资金总额：</w:t>
            </w:r>
          </w:p>
        </w:tc>
        <w:tc>
          <w:tcPr>
            <w:tcW w:w="1552" w:type="dxa"/>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24</w:t>
            </w:r>
          </w:p>
        </w:tc>
        <w:tc>
          <w:tcPr>
            <w:tcW w:w="2072"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24</w:t>
            </w:r>
          </w:p>
        </w:tc>
        <w:tc>
          <w:tcPr>
            <w:tcW w:w="1572"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939"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其中：省级财政资</w:t>
            </w:r>
          </w:p>
        </w:tc>
        <w:tc>
          <w:tcPr>
            <w:tcW w:w="1552" w:type="dxa"/>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2072"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572"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939"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市县财政资</w:t>
            </w:r>
          </w:p>
        </w:tc>
        <w:tc>
          <w:tcPr>
            <w:tcW w:w="1552" w:type="dxa"/>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24</w:t>
            </w:r>
          </w:p>
        </w:tc>
        <w:tc>
          <w:tcPr>
            <w:tcW w:w="2072"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24</w:t>
            </w:r>
          </w:p>
        </w:tc>
        <w:tc>
          <w:tcPr>
            <w:tcW w:w="1572"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939"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其他资金</w:t>
            </w:r>
          </w:p>
        </w:tc>
        <w:tc>
          <w:tcPr>
            <w:tcW w:w="1552" w:type="dxa"/>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2072" w:type="dxa"/>
            <w:gridSpan w:val="3"/>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c>
          <w:tcPr>
            <w:tcW w:w="1572" w:type="dxa"/>
            <w:gridSpan w:val="2"/>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年度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总体</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目标</w:t>
            </w:r>
          </w:p>
        </w:tc>
        <w:tc>
          <w:tcPr>
            <w:tcW w:w="464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年初设定目标</w:t>
            </w:r>
          </w:p>
        </w:tc>
        <w:tc>
          <w:tcPr>
            <w:tcW w:w="364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79"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18"/>
                <w:szCs w:val="18"/>
              </w:rPr>
            </w:pPr>
          </w:p>
        </w:tc>
        <w:tc>
          <w:tcPr>
            <w:tcW w:w="4648" w:type="dxa"/>
            <w:gridSpan w:val="5"/>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18"/>
                <w:szCs w:val="18"/>
              </w:rPr>
            </w:pPr>
          </w:p>
        </w:tc>
        <w:tc>
          <w:tcPr>
            <w:tcW w:w="3644" w:type="dxa"/>
            <w:gridSpan w:val="5"/>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绩</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效</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指</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标</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二级指标</w:t>
            </w:r>
          </w:p>
        </w:tc>
        <w:tc>
          <w:tcPr>
            <w:tcW w:w="266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三级指标</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年度指标值</w:t>
            </w:r>
          </w:p>
        </w:tc>
        <w:tc>
          <w:tcPr>
            <w:tcW w:w="11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全年完成值</w:t>
            </w:r>
          </w:p>
        </w:tc>
        <w:tc>
          <w:tcPr>
            <w:tcW w:w="11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产出</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数量</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right"/>
              <w:textAlignment w:val="auto"/>
              <w:rPr>
                <w:rFonts w:ascii="宋体" w:hAnsi="宋体" w:eastAsia="宋体" w:cs="宋体"/>
                <w:sz w:val="18"/>
                <w:szCs w:val="18"/>
              </w:rPr>
            </w:pPr>
            <w:r>
              <w:rPr>
                <w:rFonts w:hint="eastAsia" w:ascii="宋体" w:hAnsi="宋体" w:cs="宋体"/>
                <w:sz w:val="18"/>
                <w:szCs w:val="18"/>
              </w:rPr>
              <w:t>24</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cs="宋体"/>
                <w:sz w:val="18"/>
                <w:szCs w:val="18"/>
              </w:rPr>
              <w:t>24</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指标2：</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right"/>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指标3：</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right"/>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指标4：</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right"/>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指标5：</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right"/>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质量</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sz w:val="18"/>
                <w:szCs w:val="18"/>
              </w:rPr>
            </w:pPr>
            <w:r>
              <w:rPr>
                <w:rFonts w:hint="eastAsia" w:ascii="宋体" w:hAnsi="宋体" w:cs="宋体"/>
                <w:sz w:val="18"/>
                <w:szCs w:val="18"/>
              </w:rPr>
              <w:t>机构运转</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sz w:val="18"/>
                <w:szCs w:val="18"/>
              </w:rPr>
            </w:pPr>
            <w:r>
              <w:rPr>
                <w:rFonts w:hint="eastAsia" w:ascii="宋体" w:hAnsi="宋体" w:cs="宋体"/>
                <w:sz w:val="18"/>
                <w:szCs w:val="18"/>
              </w:rPr>
              <w:t>正常运转</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指标2：</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指标3：</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指标4：</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指标5：</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时效指标</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指标2：办公场所租赁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1年</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1年</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指标3：</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成本指标</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eastAsia="宋体" w:cs="宋体"/>
                <w:sz w:val="18"/>
                <w:szCs w:val="18"/>
              </w:rPr>
              <w:t>24</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eastAsia="宋体" w:cs="宋体"/>
                <w:sz w:val="18"/>
                <w:szCs w:val="18"/>
              </w:rPr>
              <w:t>24</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指标2：</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指标3：</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指标4：</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指标5：</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指标6：</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效益</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w:t>
            </w: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社会效益</w:t>
            </w:r>
          </w:p>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指标</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sz w:val="18"/>
                <w:szCs w:val="18"/>
              </w:rPr>
            </w:pPr>
            <w:r>
              <w:rPr>
                <w:rFonts w:hint="eastAsia" w:ascii="宋体" w:hAnsi="宋体" w:cs="宋体"/>
                <w:sz w:val="18"/>
                <w:szCs w:val="18"/>
              </w:rPr>
              <w:t>日常办公</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eastAsia="宋体" w:cs="宋体"/>
                <w:sz w:val="18"/>
                <w:szCs w:val="18"/>
              </w:rPr>
            </w:pPr>
            <w:r>
              <w:rPr>
                <w:rFonts w:hint="eastAsia" w:ascii="宋体" w:hAnsi="宋体" w:cs="宋体"/>
                <w:sz w:val="18"/>
                <w:szCs w:val="18"/>
              </w:rPr>
              <w:t>全部完成</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指标2：</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cs="宋体"/>
                <w:sz w:val="18"/>
                <w:szCs w:val="18"/>
              </w:rPr>
              <w:t>可持续影响</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cs="宋体"/>
                <w:sz w:val="18"/>
                <w:szCs w:val="18"/>
              </w:rPr>
              <w:t>无</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eastAsia="宋体" w:cs="宋体"/>
                <w:sz w:val="18"/>
                <w:szCs w:val="18"/>
              </w:rPr>
            </w:pPr>
            <w:r>
              <w:rPr>
                <w:rFonts w:hint="eastAsia" w:ascii="宋体" w:hAnsi="宋体" w:cs="宋体"/>
                <w:sz w:val="18"/>
                <w:szCs w:val="18"/>
              </w:rPr>
              <w:t>无</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宋体" w:hAnsi="宋体" w:cs="宋体"/>
                <w:sz w:val="18"/>
                <w:szCs w:val="18"/>
              </w:rPr>
            </w:pP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ascii="宋体" w:hAnsi="宋体" w:cs="宋体"/>
                <w:sz w:val="18"/>
                <w:szCs w:val="18"/>
              </w:rPr>
            </w:pPr>
            <w:r>
              <w:rPr>
                <w:rFonts w:hint="eastAsia" w:ascii="宋体" w:hAnsi="宋体" w:cs="宋体"/>
                <w:sz w:val="18"/>
                <w:szCs w:val="18"/>
              </w:rPr>
              <w:t>满意度指标</w:t>
            </w:r>
          </w:p>
        </w:tc>
        <w:tc>
          <w:tcPr>
            <w:tcW w:w="120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服务对象</w:t>
            </w:r>
          </w:p>
        </w:tc>
        <w:tc>
          <w:tcPr>
            <w:tcW w:w="2666" w:type="dxa"/>
            <w:gridSpan w:val="2"/>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指标1：办公场所租赁</w:t>
            </w:r>
          </w:p>
        </w:tc>
        <w:tc>
          <w:tcPr>
            <w:tcW w:w="1295"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sz w:val="18"/>
                <w:szCs w:val="18"/>
              </w:rPr>
            </w:pPr>
            <w:r>
              <w:rPr>
                <w:rFonts w:hint="eastAsia" w:ascii="宋体" w:hAnsi="宋体" w:cs="宋体"/>
                <w:sz w:val="18"/>
                <w:szCs w:val="18"/>
              </w:rPr>
              <w:t>满意度80%</w:t>
            </w:r>
          </w:p>
        </w:tc>
        <w:tc>
          <w:tcPr>
            <w:tcW w:w="1150" w:type="dxa"/>
            <w:gridSpan w:val="2"/>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ascii="宋体" w:hAnsi="宋体" w:cs="宋体"/>
                <w:sz w:val="18"/>
                <w:szCs w:val="18"/>
              </w:rPr>
            </w:pPr>
            <w:r>
              <w:rPr>
                <w:rFonts w:hint="eastAsia" w:ascii="宋体" w:hAnsi="宋体" w:cs="宋体"/>
                <w:sz w:val="18"/>
                <w:szCs w:val="18"/>
              </w:rPr>
              <w:t>85%</w:t>
            </w:r>
          </w:p>
        </w:tc>
        <w:tc>
          <w:tcPr>
            <w:tcW w:w="1199" w:type="dxa"/>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宋体" w:hAnsi="宋体" w:cs="宋体"/>
                <w:sz w:val="18"/>
                <w:szCs w:val="18"/>
              </w:rPr>
            </w:pPr>
            <w:r>
              <w:rPr>
                <w:rFonts w:hint="eastAsia" w:ascii="宋体" w:hAnsi="宋体" w:cs="宋体"/>
                <w:sz w:val="18"/>
                <w:szCs w:val="18"/>
              </w:rPr>
              <w:t>说明</w:t>
            </w:r>
          </w:p>
        </w:tc>
        <w:tc>
          <w:tcPr>
            <w:tcW w:w="8292" w:type="dxa"/>
            <w:gridSpan w:val="1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ascii="宋体" w:hAnsi="宋体" w:cs="宋体"/>
                <w:sz w:val="18"/>
                <w:szCs w:val="18"/>
              </w:rPr>
            </w:pPr>
            <w:r>
              <w:rPr>
                <w:rFonts w:hint="eastAsia" w:ascii="宋体" w:hAnsi="宋体" w:cs="宋体"/>
                <w:sz w:val="18"/>
                <w:szCs w:val="18"/>
              </w:rPr>
              <w:t>请在此处简要说明各级审计和财政监督检查中发现的问题及所涉及的金额，如没有请填无。</w:t>
            </w:r>
          </w:p>
        </w:tc>
      </w:tr>
    </w:tbl>
    <w:p>
      <w:pPr>
        <w:spacing w:line="200" w:lineRule="exact"/>
        <w:ind w:left="540" w:hanging="540" w:hangingChars="300"/>
        <w:rPr>
          <w:rFonts w:hint="eastAsia" w:ascii="宋体" w:hAnsi="宋体" w:cs="宋体"/>
          <w:sz w:val="18"/>
          <w:szCs w:val="18"/>
        </w:rPr>
      </w:pPr>
    </w:p>
    <w:p>
      <w:pPr>
        <w:spacing w:line="200" w:lineRule="exact"/>
        <w:ind w:left="540" w:hanging="540" w:hangingChars="300"/>
        <w:rPr>
          <w:rFonts w:ascii="宋体" w:hAnsi="宋体" w:cs="宋体"/>
          <w:sz w:val="18"/>
          <w:szCs w:val="18"/>
        </w:rPr>
      </w:pPr>
      <w:r>
        <w:rPr>
          <w:rFonts w:hint="eastAsia" w:ascii="宋体" w:hAnsi="宋体" w:cs="宋体"/>
          <w:sz w:val="18"/>
          <w:szCs w:val="18"/>
        </w:rPr>
        <w:t>注：1.其他资金包括和财政资金共同投入到同一项目的自有资金、社会资金，以及前年度的结转结余资金等。</w:t>
      </w:r>
    </w:p>
    <w:p>
      <w:pPr>
        <w:spacing w:line="200" w:lineRule="exact"/>
        <w:ind w:left="579" w:leftChars="190" w:hanging="180" w:hangingChars="100"/>
        <w:rPr>
          <w:rFonts w:ascii="宋体" w:hAnsi="宋体" w:cs="宋体"/>
          <w:sz w:val="18"/>
          <w:szCs w:val="18"/>
        </w:rPr>
      </w:pPr>
      <w:r>
        <w:rPr>
          <w:rFonts w:hint="eastAsia" w:ascii="宋体" w:hAnsi="宋体" w:cs="宋体"/>
          <w:sz w:val="18"/>
          <w:szCs w:val="18"/>
        </w:rPr>
        <w:t>2.定量指标，资金使用单位填写本地区实际完成数。财政和主管部门汇总时，对绝对值直接累加计算，相对值按照资金额度加权平均计算。</w:t>
      </w:r>
    </w:p>
    <w:p>
      <w:pPr>
        <w:spacing w:line="200" w:lineRule="exact"/>
        <w:ind w:left="579" w:leftChars="190" w:hanging="180" w:hangingChars="100"/>
        <w:rPr>
          <w:rFonts w:ascii="宋体" w:hAnsi="宋体" w:cs="宋体"/>
          <w:sz w:val="18"/>
          <w:szCs w:val="18"/>
        </w:rPr>
        <w:sectPr>
          <w:pgSz w:w="11906" w:h="16838"/>
          <w:pgMar w:top="1984" w:right="1474" w:bottom="1701" w:left="1587" w:header="851" w:footer="1531" w:gutter="0"/>
          <w:cols w:space="720" w:num="1"/>
          <w:docGrid w:type="lines" w:linePitch="312" w:charSpace="0"/>
        </w:sectPr>
      </w:pPr>
      <w:r>
        <w:rPr>
          <w:rFonts w:hint="eastAsia" w:ascii="宋体" w:hAnsi="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ascii="宋体" w:hAnsi="宋体" w:cs="宋体"/>
          <w:sz w:val="24"/>
          <w:szCs w:val="24"/>
        </w:rPr>
      </w:pPr>
      <w:r>
        <w:rPr>
          <w:rFonts w:hint="eastAsia" w:ascii="宋体" w:hAnsi="宋体" w:cs="宋体"/>
          <w:sz w:val="24"/>
          <w:szCs w:val="24"/>
        </w:rPr>
        <w:t>（2020年度）</w:t>
      </w:r>
    </w:p>
    <w:p>
      <w:pPr>
        <w:spacing w:line="300" w:lineRule="exact"/>
        <w:rPr>
          <w:rFonts w:ascii="宋体" w:hAnsi="宋体" w:eastAsia="宋体" w:cs="宋体"/>
          <w:sz w:val="24"/>
          <w:szCs w:val="24"/>
        </w:rPr>
      </w:pPr>
      <w:r>
        <w:rPr>
          <w:rFonts w:hint="eastAsia" w:ascii="宋体" w:hAnsi="宋体" w:cs="宋体"/>
          <w:sz w:val="24"/>
          <w:szCs w:val="24"/>
        </w:rPr>
        <w:t>填报单位：镇安县信访局                                               自评得分：91</w:t>
      </w:r>
    </w:p>
    <w:tbl>
      <w:tblPr>
        <w:tblStyle w:val="8"/>
        <w:tblW w:w="14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586"/>
        <w:gridCol w:w="709"/>
        <w:gridCol w:w="624"/>
        <w:gridCol w:w="3315"/>
        <w:gridCol w:w="2624"/>
        <w:gridCol w:w="1225"/>
        <w:gridCol w:w="1095"/>
        <w:gridCol w:w="1050"/>
        <w:gridCol w:w="810"/>
        <w:gridCol w:w="734"/>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79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宋体" w:hAnsi="宋体" w:cs="宋体"/>
                <w:sz w:val="18"/>
                <w:szCs w:val="18"/>
              </w:rPr>
            </w:pPr>
            <w:r>
              <w:rPr>
                <w:rFonts w:hint="eastAsia" w:ascii="宋体" w:hAnsi="宋体" w:cs="宋体"/>
                <w:sz w:val="18"/>
                <w:szCs w:val="18"/>
              </w:rPr>
              <w:t>（一）简要概述部门职能与职责</w:t>
            </w:r>
          </w:p>
        </w:tc>
        <w:tc>
          <w:tcPr>
            <w:tcW w:w="834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贯彻党和国家关于信访工作的方针、政策、规定和《信访条例》，分析、研究、调查、汇报信访资料，为领导提供决策依据；负责处理群众网投、来信、来电、来访；交办督办各类信访事项的处理和落实；承担县信访联席会议的日常工作；维护党和国家各级重大政治活动的信访稳定；协调指导全县信访工作等工作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79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宋体" w:hAnsi="宋体" w:cs="宋体"/>
                <w:sz w:val="18"/>
                <w:szCs w:val="18"/>
              </w:rPr>
            </w:pPr>
            <w:r>
              <w:rPr>
                <w:rFonts w:hint="eastAsia" w:ascii="宋体" w:hAnsi="宋体" w:cs="宋体"/>
                <w:sz w:val="18"/>
                <w:szCs w:val="18"/>
              </w:rPr>
              <w:t>（二）简要概述部门支出情况，按活动内容分类</w:t>
            </w:r>
          </w:p>
        </w:tc>
        <w:tc>
          <w:tcPr>
            <w:tcW w:w="834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人员经费，日常公用经费，信访事务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79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ascii="宋体" w:hAnsi="宋体" w:cs="宋体"/>
                <w:sz w:val="18"/>
                <w:szCs w:val="18"/>
              </w:rPr>
            </w:pPr>
            <w:r>
              <w:rPr>
                <w:rFonts w:hint="eastAsia" w:ascii="宋体" w:hAnsi="宋体" w:cs="宋体"/>
                <w:sz w:val="18"/>
                <w:szCs w:val="18"/>
              </w:rPr>
              <w:t>（三）简要概述当年县委县政府下达的重点工作</w:t>
            </w:r>
          </w:p>
        </w:tc>
        <w:tc>
          <w:tcPr>
            <w:tcW w:w="834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rPr>
                <w:rFonts w:hint="eastAsia" w:ascii="宋体" w:hAnsi="宋体" w:eastAsia="宋体" w:cs="宋体"/>
                <w:sz w:val="18"/>
                <w:szCs w:val="18"/>
              </w:rPr>
            </w:pPr>
            <w:r>
              <w:rPr>
                <w:rFonts w:hint="eastAsia" w:ascii="宋体" w:hAnsi="宋体" w:eastAsia="宋体" w:cs="宋体"/>
                <w:sz w:val="18"/>
                <w:szCs w:val="18"/>
              </w:rPr>
              <w:t>保证国家及省重大活动期间社会稳定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分值</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指标说明</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评分标准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指标值计算公式和数据获取方式</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年初目标值</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实际完成值</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得分</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未完成原因分析与改进措施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投入</w:t>
            </w:r>
          </w:p>
        </w:tc>
        <w:tc>
          <w:tcPr>
            <w:tcW w:w="58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预算</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(25分)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预算完成率</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（10分）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10</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预算完成率=（预算完成数/预算数）×100%，用以反映和考核部门（单位）预算完成程度。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预算完成数：部门（单位）本年度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预算数：财政部门批复的本年度部门（单位）预算数。</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预算完成率=100%，得10分。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预算完成率≧95%的，得9分。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预算完成率在90%（含 ）和95%之间，得8分。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预算完成率在85%（含）和90%之间，得7分。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预算完成率在80%（含）和85%之间，得6分。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预算完成率在70%（含）和80%之间，得4分。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预算完成率在〈70%，得0分。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775.26/775.26</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775.26</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775.26</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10</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58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预算调整率（5分）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pacing w:val="-6"/>
                <w:sz w:val="18"/>
                <w:szCs w:val="18"/>
              </w:rPr>
            </w:pPr>
            <w:r>
              <w:rPr>
                <w:rFonts w:hint="eastAsia" w:ascii="宋体" w:hAnsi="宋体" w:cs="宋体"/>
                <w:sz w:val="18"/>
                <w:szCs w:val="18"/>
              </w:rPr>
              <w:t>预算调整率</w:t>
            </w:r>
            <w:r>
              <w:rPr>
                <w:rFonts w:hint="eastAsia" w:ascii="宋体" w:hAnsi="宋体" w:cs="宋体"/>
                <w:spacing w:val="-6"/>
                <w:sz w:val="18"/>
                <w:szCs w:val="18"/>
              </w:rPr>
              <w:t>=(预算调整数/预算数)×100%，用以反映和考核部门(单位)预算的调整程度。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预算调整数：部门（单位）在本年度内涉及预算的追加、追减或结构调整的资金总和（因落实国家政策、发生不可抗力、上级部门或本级党委政府临时交办而产生的调整除外）。</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预算包括一般公共预算与政府性基金预算。</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预算调整率绝对值≦5%,得5分。预算调整率绝对值〉5%的，每增加0.1个百分点扣0.1分，扣完为止。</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0</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分值</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指标说明</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评分标准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指标值计算公式和数据获取方式</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年初目标值</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实际完成值</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得分</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未完成原因分析与改进措施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投入</w:t>
            </w:r>
          </w:p>
        </w:tc>
        <w:tc>
          <w:tcPr>
            <w:tcW w:w="58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(25分)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支出进度率（5分）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支出进度率=（实际支出/支出预算）×100%，用以反映和考核部门（单位）预算执行的及时性和均衡性程度。</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半年支出进度=部门上半年实际支出/（上年结余结转+本年部门预算安排+上半年执行中追加追减）*100%。</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前三季度支出进度=部门前三季度实际支出/（上年结余结转+本年部门预算安排+前三季度执行中追加追减）*100%。</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半年进度：进度率≧45%，得2分；进度率在40%（含）和45%之间，得1分；进度率〈40%，得0分。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前三季度进度：进度率≧75%，得3分；进度率在60%（含）和75%之间，得2分；进度率〈60%，得0分。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集中支付</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系统</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半年进度：进度率≧45%</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前三季度进度：进度率≧75%</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半年60.3%</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前三季度78.23%</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58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预算编制准确率（5分）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部门预算中除财政拨款外的其他收入预算与决算差异率。</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预算编制准确率=其他收入决算数/其他收入预算数×100%-100%。</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预算编制准确率≦20%，得5分。预算编制准确率在20%和40%（含）之间，得3分。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预算编制准确率〉40%，得0分。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镇财办预（2020）08号，</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0</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过程</w:t>
            </w:r>
          </w:p>
        </w:tc>
        <w:tc>
          <w:tcPr>
            <w:tcW w:w="58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预算管理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（15分）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“三公经费”控制率（5分）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“三公经费”控制率=（“三公经费”实际支出数/“三公经费”预算安排数）×100%，用以反映和考核部门（单位）对“三公经费”的实际控制程度。</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三公经费控制率≦100%，得5分，每增加0.1个百分点扣0.5分，扣完为止。</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决算</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eastAsia="宋体" w:cs="宋体"/>
                <w:sz w:val="18"/>
                <w:szCs w:val="18"/>
              </w:rPr>
            </w:pPr>
            <w:r>
              <w:rPr>
                <w:rFonts w:hint="eastAsia" w:ascii="宋体" w:hAnsi="宋体" w:cs="宋体"/>
                <w:sz w:val="18"/>
                <w:szCs w:val="18"/>
              </w:rPr>
              <w:t>报表</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三公经费控制率≦100%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0</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58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资产管理规范性（5分）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部门（单位）资产管理是否规范，用以反映和考核部门（单位）资产管理情况。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1.新增资产配置按预算执行。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2.资产有偿使用、处置按规定程序审批。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3.资产收益及时、足额上缴财政。</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全部符合5分，有1项不符扣2分，扣完为止。</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国有资产管理系统</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全部符合</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全部符合</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一级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二级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bCs/>
                <w:sz w:val="18"/>
                <w:szCs w:val="18"/>
              </w:rPr>
            </w:pPr>
            <w:r>
              <w:rPr>
                <w:rFonts w:hint="eastAsia" w:ascii="宋体" w:hAnsi="宋体" w:cs="宋体"/>
                <w:b/>
                <w:bCs/>
                <w:sz w:val="18"/>
                <w:szCs w:val="18"/>
              </w:rPr>
              <w:t>三级</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分值</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指标说明</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评分标准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指标值计算公式和数据获取方式</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年初目标值</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实际完成值</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得分</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未完成原因分析与改进措施</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ascii="宋体" w:hAnsi="宋体" w:cs="宋体" w:eastAsiaTheme="minorEastAsia"/>
                <w:bCs/>
                <w:kern w:val="2"/>
                <w:sz w:val="18"/>
                <w:szCs w:val="18"/>
                <w:lang w:val="en-US" w:eastAsia="zh-CN" w:bidi="ar-SA"/>
              </w:rPr>
            </w:pPr>
            <w:r>
              <w:rPr>
                <w:rFonts w:hint="eastAsia" w:ascii="宋体" w:hAnsi="宋体" w:cs="宋体"/>
                <w:b/>
                <w:bCs/>
                <w:sz w:val="18"/>
                <w:szCs w:val="18"/>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过程</w:t>
            </w:r>
          </w:p>
        </w:tc>
        <w:tc>
          <w:tcPr>
            <w:tcW w:w="58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预算管理（15分）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资金使用合规性（5分）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5</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部门（单位）使用预算资金是否符合相关的预算财务管理制度的规定，用以反映和考核部门（单位）预算资金的规范运行情况。</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1.符合国家财经法规和财务管理制度规定以及有关专项资金管理办法的规定；</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2.资金的拨付有完整的审批程序和手续；</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3.重大项目开支经过评估论证；</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4.符合部门预算批复的用途；</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5.不存</w:t>
            </w:r>
            <w:r>
              <w:rPr>
                <w:rFonts w:hint="eastAsia" w:ascii="宋体" w:hAnsi="宋体" w:cs="宋体"/>
                <w:spacing w:val="-6"/>
                <w:sz w:val="18"/>
                <w:szCs w:val="18"/>
              </w:rPr>
              <w:t>在截留、挤占、挪用、虚列支出等情况。</w:t>
            </w:r>
          </w:p>
        </w:tc>
        <w:tc>
          <w:tcPr>
            <w:tcW w:w="2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全部符合5分，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有1项不符扣2分。</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100%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全部符合</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5</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效果</w:t>
            </w:r>
          </w:p>
        </w:tc>
        <w:tc>
          <w:tcPr>
            <w:tcW w:w="58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履职尽责（60分）</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项目产出（40分）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40</w:t>
            </w:r>
          </w:p>
        </w:tc>
        <w:tc>
          <w:tcPr>
            <w:tcW w:w="331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驻京长效机制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办公场所租房</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p>
        </w:tc>
        <w:tc>
          <w:tcPr>
            <w:tcW w:w="26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pacing w:val="-6"/>
                <w:sz w:val="18"/>
                <w:szCs w:val="18"/>
              </w:rPr>
            </w:pPr>
            <w:r>
              <w:rPr>
                <w:rFonts w:hint="eastAsia" w:ascii="宋体" w:hAnsi="宋体" w:cs="宋体"/>
                <w:sz w:val="18"/>
                <w:szCs w:val="18"/>
              </w:rPr>
              <w:t>1.若为定</w:t>
            </w:r>
            <w:r>
              <w:rPr>
                <w:rFonts w:hint="eastAsia" w:ascii="宋体" w:hAnsi="宋体" w:cs="宋体"/>
                <w:spacing w:val="-6"/>
                <w:sz w:val="18"/>
                <w:szCs w:val="18"/>
              </w:rPr>
              <w:t>性指标，根据“三档”原则分别按照指标分值的100-80%（含）、80-50%（含）、50-10%来记分；</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2.若为定量指标，完成值达到指标值，记满分；未达到指标值，按完成比率计分，正向指标（即指标值为≧*）得分=实际完成值/年初目标值*该</w:t>
            </w:r>
            <w:r>
              <w:rPr>
                <w:rFonts w:hint="eastAsia" w:ascii="宋体" w:hAnsi="宋体" w:cs="宋体"/>
                <w:spacing w:val="-6"/>
                <w:sz w:val="18"/>
                <w:szCs w:val="18"/>
              </w:rPr>
              <w:t>指标分值，反向指标（即指标值为≦*）得分=年初目标值/实际完成值*该指标分值。</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80%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85%</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34</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58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项目效益（20分）</w:t>
            </w:r>
          </w:p>
        </w:tc>
        <w:tc>
          <w:tcPr>
            <w:tcW w:w="62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20</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1、驻京长效机制</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r>
              <w:rPr>
                <w:rFonts w:hint="eastAsia" w:ascii="宋体" w:hAnsi="宋体" w:cs="宋体"/>
                <w:sz w:val="18"/>
                <w:szCs w:val="18"/>
              </w:rPr>
              <w:t>2、驻京长效机制</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rPr>
                <w:rFonts w:ascii="宋体" w:hAnsi="宋体" w:cs="宋体"/>
                <w:sz w:val="18"/>
                <w:szCs w:val="18"/>
              </w:rPr>
            </w:pPr>
          </w:p>
        </w:tc>
        <w:tc>
          <w:tcPr>
            <w:tcW w:w="262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80%</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r>
              <w:rPr>
                <w:rFonts w:hint="eastAsia" w:ascii="宋体" w:hAnsi="宋体" w:cs="宋体"/>
                <w:sz w:val="18"/>
                <w:szCs w:val="18"/>
              </w:rPr>
              <w:t>85%</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eastAsia="宋体" w:cs="宋体"/>
                <w:sz w:val="18"/>
                <w:szCs w:val="18"/>
              </w:rPr>
            </w:pPr>
            <w:r>
              <w:rPr>
                <w:rFonts w:hint="eastAsia" w:ascii="宋体" w:hAnsi="宋体" w:cs="宋体"/>
                <w:sz w:val="18"/>
                <w:szCs w:val="18"/>
              </w:rPr>
              <w:t>17</w:t>
            </w:r>
          </w:p>
        </w:tc>
        <w:tc>
          <w:tcPr>
            <w:tcW w:w="7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142"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备注：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1.“项目产出”和“项目效果”直接细化成部门年初绩效目标中的指标，并根据重要程度赋权。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ascii="宋体" w:hAnsi="宋体" w:cs="宋体"/>
                <w:sz w:val="18"/>
                <w:szCs w:val="18"/>
              </w:rPr>
            </w:pPr>
            <w:r>
              <w:rPr>
                <w:rFonts w:hint="eastAsia" w:ascii="宋体" w:hAnsi="宋体" w:cs="宋体"/>
                <w:sz w:val="18"/>
                <w:szCs w:val="18"/>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spacing w:line="300" w:lineRule="exact"/>
        <w:rPr>
          <w:rFonts w:ascii="宋体" w:hAnsi="宋体" w:cs="宋体"/>
          <w:sz w:val="18"/>
          <w:szCs w:val="18"/>
        </w:rPr>
        <w:sectPr>
          <w:pgSz w:w="16838" w:h="11906" w:orient="landscape"/>
          <w:pgMar w:top="1417" w:right="1417" w:bottom="1134" w:left="1417" w:header="851" w:footer="1531" w:gutter="0"/>
          <w:paperSrc/>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2020年机关运行经费年初预算为221.34元万元，上年结转13.51万元，调整预算数221.34万元，支出决算为221.34万元，完成预算的100%，决算数与预算数基本持平。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末，本部门机关及所属单位公务车辆保有量XX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0" w:name="_GoBack"/>
      <w:bookmarkEnd w:id="0"/>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5.驻京长效机制</w:t>
      </w:r>
      <w:r>
        <w:rPr>
          <w:rFonts w:hint="eastAsia" w:ascii="仿宋_GB2312" w:hAnsi="仿宋_GB2312" w:eastAsia="仿宋_GB2312" w:cs="仿宋_GB2312"/>
          <w:sz w:val="32"/>
          <w:szCs w:val="32"/>
        </w:rPr>
        <w:t>：指按照上级要求针对越级上访和非正常上访人员的接劝返及协调专设机构。</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仿宋_GB2312" w:eastAsia="仿宋_GB2312" w:cs="仿宋_GB2312"/>
          <w:sz w:val="32"/>
          <w:szCs w:val="32"/>
        </w:rPr>
      </w:pPr>
    </w:p>
    <w:p/>
    <w:sectPr>
      <w:footerReference r:id="rId3" w:type="default"/>
      <w:footerReference r:id="rId4" w:type="even"/>
      <w:pgSz w:w="11906" w:h="16838"/>
      <w:pgMar w:top="1984" w:right="1474" w:bottom="1701" w:left="1587" w:header="851" w:footer="992" w:gutter="0"/>
      <w:paperSrc/>
      <w:cols w:space="0" w:num="1"/>
      <w:titlePg/>
      <w:rtlGutter w:val="0"/>
      <w:docGrid w:type="linesAndChars" w:linePitch="312" w:charSpace="1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1AE"/>
    <w:multiLevelType w:val="singleLevel"/>
    <w:tmpl w:val="3D1C21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B7F8A"/>
    <w:rsid w:val="00035408"/>
    <w:rsid w:val="000A1C35"/>
    <w:rsid w:val="000B1091"/>
    <w:rsid w:val="000B3C01"/>
    <w:rsid w:val="000C5136"/>
    <w:rsid w:val="00191680"/>
    <w:rsid w:val="001B72BA"/>
    <w:rsid w:val="00292C2D"/>
    <w:rsid w:val="003828F7"/>
    <w:rsid w:val="003C6E62"/>
    <w:rsid w:val="003E3052"/>
    <w:rsid w:val="00414353"/>
    <w:rsid w:val="0042387E"/>
    <w:rsid w:val="00432A61"/>
    <w:rsid w:val="004E0603"/>
    <w:rsid w:val="004F22C3"/>
    <w:rsid w:val="004F2AFA"/>
    <w:rsid w:val="0051324A"/>
    <w:rsid w:val="005372DD"/>
    <w:rsid w:val="005A175D"/>
    <w:rsid w:val="005A30E9"/>
    <w:rsid w:val="005C15D5"/>
    <w:rsid w:val="005D2ECF"/>
    <w:rsid w:val="00637FDC"/>
    <w:rsid w:val="00642987"/>
    <w:rsid w:val="006D5E01"/>
    <w:rsid w:val="006F33E5"/>
    <w:rsid w:val="007F115B"/>
    <w:rsid w:val="008004F9"/>
    <w:rsid w:val="008063BB"/>
    <w:rsid w:val="00830123"/>
    <w:rsid w:val="008A6C17"/>
    <w:rsid w:val="008A7BA2"/>
    <w:rsid w:val="008E5412"/>
    <w:rsid w:val="00915D80"/>
    <w:rsid w:val="00927CEF"/>
    <w:rsid w:val="009C6D6D"/>
    <w:rsid w:val="009C717D"/>
    <w:rsid w:val="00A73232"/>
    <w:rsid w:val="00AE1456"/>
    <w:rsid w:val="00B063CA"/>
    <w:rsid w:val="00B307E9"/>
    <w:rsid w:val="00B72DC6"/>
    <w:rsid w:val="00BB6574"/>
    <w:rsid w:val="00BB6BDF"/>
    <w:rsid w:val="00BE5BD4"/>
    <w:rsid w:val="00C83CEE"/>
    <w:rsid w:val="00C96840"/>
    <w:rsid w:val="00D84924"/>
    <w:rsid w:val="00D9467B"/>
    <w:rsid w:val="00DD4ECE"/>
    <w:rsid w:val="00E72E88"/>
    <w:rsid w:val="00ED68D7"/>
    <w:rsid w:val="00EF33F6"/>
    <w:rsid w:val="00EF42C0"/>
    <w:rsid w:val="00FA0110"/>
    <w:rsid w:val="00FB66F8"/>
    <w:rsid w:val="00FC14D2"/>
    <w:rsid w:val="00FC3F47"/>
    <w:rsid w:val="021A72E2"/>
    <w:rsid w:val="09FF7377"/>
    <w:rsid w:val="0B65691C"/>
    <w:rsid w:val="17FD4F16"/>
    <w:rsid w:val="1FE30472"/>
    <w:rsid w:val="24F0501A"/>
    <w:rsid w:val="270C2262"/>
    <w:rsid w:val="27226173"/>
    <w:rsid w:val="285B3BA5"/>
    <w:rsid w:val="2EA7458F"/>
    <w:rsid w:val="30D00EA7"/>
    <w:rsid w:val="37D765DC"/>
    <w:rsid w:val="3C877531"/>
    <w:rsid w:val="41936E53"/>
    <w:rsid w:val="4301467B"/>
    <w:rsid w:val="4B5D0FC9"/>
    <w:rsid w:val="54775670"/>
    <w:rsid w:val="5728490D"/>
    <w:rsid w:val="5B0F5257"/>
    <w:rsid w:val="5E2B7F8A"/>
    <w:rsid w:val="61F32151"/>
    <w:rsid w:val="6E7D0D97"/>
    <w:rsid w:val="6EFC314D"/>
    <w:rsid w:val="70ED2734"/>
    <w:rsid w:val="780B38A1"/>
    <w:rsid w:val="79BA3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rPr>
      <w:rFonts w:ascii="Calibri" w:hAnsi="Calibri" w:eastAsia="宋体" w:cs="Times New Roman"/>
      <w:b/>
      <w:bCs/>
      <w:sz w:val="30"/>
    </w:rPr>
  </w:style>
  <w:style w:type="paragraph" w:styleId="3">
    <w:name w:val="Date"/>
    <w:basedOn w:val="1"/>
    <w:next w:val="1"/>
    <w:link w:val="16"/>
    <w:qFormat/>
    <w:uiPriority w:val="0"/>
    <w:pPr>
      <w:ind w:left="100" w:leftChars="2500"/>
    </w:pPr>
    <w:rPr>
      <w:rFonts w:ascii="Calibri" w:hAnsi="Calibri" w:eastAsia="宋体" w:cs="Times New Roman"/>
    </w:r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paragraph" w:customStyle="1" w:styleId="15">
    <w:name w:val="Char"/>
    <w:basedOn w:val="1"/>
    <w:next w:val="1"/>
    <w:qFormat/>
    <w:uiPriority w:val="0"/>
    <w:pPr>
      <w:keepNext/>
      <w:keepLines/>
      <w:widowControl/>
      <w:adjustRightInd w:val="0"/>
      <w:spacing w:before="40" w:after="40" w:line="360" w:lineRule="auto"/>
      <w:ind w:firstLine="200" w:firstLineChars="200"/>
      <w:outlineLvl w:val="3"/>
    </w:pPr>
    <w:rPr>
      <w:rFonts w:ascii="Calibri" w:hAnsi="Calibri" w:eastAsia="仿宋_GB2312" w:cs="宋体"/>
      <w:b/>
      <w:kern w:val="0"/>
      <w:sz w:val="24"/>
      <w:szCs w:val="28"/>
    </w:rPr>
  </w:style>
  <w:style w:type="character" w:customStyle="1" w:styleId="16">
    <w:name w:val="日期 Char"/>
    <w:basedOn w:val="10"/>
    <w:link w:val="3"/>
    <w:qFormat/>
    <w:uiPriority w:val="0"/>
    <w:rPr>
      <w:rFonts w:ascii="Calibri" w:hAnsi="Calibri"/>
      <w:kern w:val="2"/>
      <w:sz w:val="21"/>
      <w:szCs w:val="24"/>
    </w:rPr>
  </w:style>
  <w:style w:type="paragraph" w:customStyle="1" w:styleId="17">
    <w:name w:val="默认段落字体 Para Char Char Char Char Char Char Char"/>
    <w:basedOn w:val="1"/>
    <w:qFormat/>
    <w:uiPriority w:val="0"/>
    <w:rPr>
      <w:rFonts w:ascii="Calibri" w:hAnsi="Calibri" w:eastAsia="宋体" w:cs="Times New Roman"/>
      <w:szCs w:val="20"/>
    </w:rPr>
  </w:style>
  <w:style w:type="character" w:customStyle="1" w:styleId="18">
    <w:name w:val="正文文本 Char"/>
    <w:basedOn w:val="10"/>
    <w:link w:val="2"/>
    <w:qFormat/>
    <w:uiPriority w:val="0"/>
    <w:rPr>
      <w:rFonts w:ascii="Calibri" w:hAnsi="Calibri"/>
      <w:b/>
      <w:bCs/>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831384878973462"/>
          <c:y val="0.167073490813648"/>
          <c:w val="0.884454104695246"/>
          <c:h val="0.706551056117985"/>
        </c:manualLayout>
      </c:layout>
      <c:barChart>
        <c:barDir val="col"/>
        <c:grouping val="stacked"/>
        <c:varyColors val="0"/>
        <c:ser>
          <c:idx val="0"/>
          <c:order val="0"/>
          <c:tx>
            <c:strRef>
              <c:f>Sheet1!$B$1</c:f>
              <c:strCache>
                <c:ptCount val="1"/>
                <c:pt idx="0">
                  <c:v>人员结构</c:v>
                </c:pt>
              </c:strCache>
            </c:strRef>
          </c:tx>
          <c:invertIfNegative val="0"/>
          <c:dLbls>
            <c:delete val="1"/>
          </c:dLbls>
          <c:cat>
            <c:strRef>
              <c:f>Sheet1!$A$2:$A$3</c:f>
              <c:strCache>
                <c:ptCount val="2"/>
                <c:pt idx="0">
                  <c:v>行政</c:v>
                </c:pt>
                <c:pt idx="1">
                  <c:v>事业</c:v>
                </c:pt>
              </c:strCache>
            </c:strRef>
          </c:cat>
          <c:val>
            <c:numRef>
              <c:f>Sheet1!$B$2:$B$3</c:f>
              <c:numCache>
                <c:formatCode>General</c:formatCode>
                <c:ptCount val="2"/>
                <c:pt idx="0">
                  <c:v>25</c:v>
                </c:pt>
                <c:pt idx="1">
                  <c:v>3</c:v>
                </c:pt>
              </c:numCache>
            </c:numRef>
          </c:val>
        </c:ser>
        <c:dLbls>
          <c:showLegendKey val="0"/>
          <c:showVal val="0"/>
          <c:showCatName val="0"/>
          <c:showSerName val="0"/>
          <c:showPercent val="0"/>
          <c:showBubbleSize val="0"/>
        </c:dLbls>
        <c:gapWidth val="150"/>
        <c:overlap val="100"/>
        <c:axId val="52303360"/>
        <c:axId val="122207616"/>
      </c:barChart>
      <c:catAx>
        <c:axId val="523033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207616"/>
        <c:crosses val="autoZero"/>
        <c:auto val="1"/>
        <c:lblAlgn val="ctr"/>
        <c:lblOffset val="100"/>
        <c:noMultiLvlLbl val="0"/>
      </c:catAx>
      <c:valAx>
        <c:axId val="1222076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3033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两年收支对比</a:t>
            </a:r>
            <a:endParaRPr lang="zh-CN" altLang="en-US"/>
          </a:p>
        </c:rich>
      </c:tx>
      <c:layout/>
      <c:overlay val="0"/>
      <c:spPr>
        <a:noFill/>
        <a:ln>
          <a:noFill/>
        </a:ln>
        <a:effectLst/>
      </c:spPr>
    </c:title>
    <c:autoTitleDeleted val="0"/>
    <c:plotArea>
      <c:layout/>
      <c:barChart>
        <c:barDir val="col"/>
        <c:grouping val="stacked"/>
        <c:varyColors val="0"/>
        <c:ser>
          <c:idx val="0"/>
          <c:order val="0"/>
          <c:tx>
            <c:strRef>
              <c:f>Sheet1!$B$1</c:f>
              <c:strCache>
                <c:ptCount val="1"/>
                <c:pt idx="0">
                  <c:v>1</c:v>
                </c:pt>
              </c:strCache>
            </c:strRef>
          </c:tx>
          <c:spPr>
            <a:solidFill>
              <a:schemeClr val="accent1"/>
            </a:solidFill>
            <a:ln>
              <a:noFill/>
            </a:ln>
            <a:effectLst/>
          </c:spPr>
          <c:invertIfNegative val="0"/>
          <c:dLbls>
            <c:delete val="1"/>
          </c:dLbls>
          <c:cat>
            <c:strRef>
              <c:f>Sheet1!$A$2:$A$3</c:f>
              <c:strCache>
                <c:ptCount val="2"/>
                <c:pt idx="0">
                  <c:v>2020年</c:v>
                </c:pt>
                <c:pt idx="1">
                  <c:v>2019年</c:v>
                </c:pt>
              </c:strCache>
            </c:strRef>
          </c:cat>
          <c:val>
            <c:numRef>
              <c:f>Sheet1!$B$2:$B$3</c:f>
              <c:numCache>
                <c:formatCode>General</c:formatCode>
                <c:ptCount val="2"/>
                <c:pt idx="0">
                  <c:v>795.77</c:v>
                </c:pt>
                <c:pt idx="1">
                  <c:v>849.91</c:v>
                </c:pt>
              </c:numCache>
            </c:numRef>
          </c:val>
        </c:ser>
        <c:dLbls>
          <c:showLegendKey val="0"/>
          <c:showVal val="0"/>
          <c:showCatName val="0"/>
          <c:showSerName val="0"/>
          <c:showPercent val="0"/>
          <c:showBubbleSize val="0"/>
        </c:dLbls>
        <c:gapWidth val="150"/>
        <c:overlap val="100"/>
        <c:axId val="52480256"/>
        <c:axId val="52486144"/>
      </c:barChart>
      <c:catAx>
        <c:axId val="524802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86144"/>
        <c:crosses val="autoZero"/>
        <c:auto val="1"/>
        <c:lblAlgn val="ctr"/>
        <c:lblOffset val="100"/>
        <c:noMultiLvlLbl val="0"/>
      </c:catAx>
      <c:valAx>
        <c:axId val="52486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8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收入结构</c:v>
                </c:pt>
              </c:strCache>
            </c:strRef>
          </c:tx>
          <c:explosion val="41"/>
          <c:dPt>
            <c:idx val="0"/>
            <c:bubble3D val="0"/>
          </c:dPt>
          <c:dPt>
            <c:idx val="1"/>
            <c:bubble3D val="0"/>
          </c:dPt>
          <c:dLbls>
            <c:delete val="1"/>
          </c:dLbls>
          <c:cat>
            <c:strRef>
              <c:f>Sheet1!$A$2:$A$3</c:f>
              <c:strCache>
                <c:ptCount val="2"/>
                <c:pt idx="0">
                  <c:v>收入合计</c:v>
                </c:pt>
                <c:pt idx="1">
                  <c:v>财政拨款收入</c:v>
                </c:pt>
              </c:strCache>
            </c:strRef>
          </c:cat>
          <c:val>
            <c:numRef>
              <c:f>Sheet1!$B$2:$B$3</c:f>
              <c:numCache>
                <c:formatCode>General</c:formatCode>
                <c:ptCount val="2"/>
                <c:pt idx="0">
                  <c:v>775.26</c:v>
                </c:pt>
                <c:pt idx="1">
                  <c:v>775.26</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支出结构</c:v>
                </c:pt>
              </c:strCache>
            </c:strRef>
          </c:tx>
          <c:explosion val="13"/>
          <c:dPt>
            <c:idx val="0"/>
            <c:bubble3D val="0"/>
          </c:dPt>
          <c:dPt>
            <c:idx val="1"/>
            <c:bubble3D val="0"/>
          </c:dPt>
          <c:dPt>
            <c:idx val="2"/>
            <c:bubble3D val="0"/>
          </c:dPt>
          <c:dLbls>
            <c:delete val="1"/>
          </c:dLbls>
          <c:cat>
            <c:strRef>
              <c:f>Sheet1!$A$2:$A$4</c:f>
              <c:strCache>
                <c:ptCount val="3"/>
                <c:pt idx="0">
                  <c:v>支出合计</c:v>
                </c:pt>
                <c:pt idx="1">
                  <c:v>基本支出</c:v>
                </c:pt>
                <c:pt idx="2">
                  <c:v>项目支出</c:v>
                </c:pt>
              </c:strCache>
            </c:strRef>
          </c:cat>
          <c:val>
            <c:numRef>
              <c:f>Sheet1!$B$2:$B$4</c:f>
              <c:numCache>
                <c:formatCode>General</c:formatCode>
                <c:ptCount val="3"/>
                <c:pt idx="0">
                  <c:v>794.35</c:v>
                </c:pt>
                <c:pt idx="1">
                  <c:v>480.64</c:v>
                </c:pt>
                <c:pt idx="2">
                  <c:v>313.71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财政拨款收入支出对比</c:v>
                </c:pt>
              </c:strCache>
            </c:strRef>
          </c:tx>
          <c:invertIfNegative val="0"/>
          <c:dLbls>
            <c:delete val="1"/>
          </c:dLbls>
          <c:cat>
            <c:numRef>
              <c:f>Sheet1!$A$2:$A$3</c:f>
              <c:numCache>
                <c:formatCode>General</c:formatCode>
                <c:ptCount val="2"/>
                <c:pt idx="0">
                  <c:v>2020</c:v>
                </c:pt>
                <c:pt idx="1">
                  <c:v>2019</c:v>
                </c:pt>
              </c:numCache>
            </c:numRef>
          </c:cat>
          <c:val>
            <c:numRef>
              <c:f>Sheet1!$B$2:$B$3</c:f>
              <c:numCache>
                <c:formatCode>General</c:formatCode>
                <c:ptCount val="2"/>
                <c:pt idx="0">
                  <c:v>795.77</c:v>
                </c:pt>
                <c:pt idx="1">
                  <c:v>847.91</c:v>
                </c:pt>
              </c:numCache>
            </c:numRef>
          </c:val>
        </c:ser>
        <c:dLbls>
          <c:showLegendKey val="0"/>
          <c:showVal val="0"/>
          <c:showCatName val="0"/>
          <c:showSerName val="0"/>
          <c:showPercent val="0"/>
          <c:showBubbleSize val="0"/>
        </c:dLbls>
        <c:gapWidth val="150"/>
        <c:axId val="52347264"/>
        <c:axId val="52348800"/>
      </c:barChart>
      <c:catAx>
        <c:axId val="523472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348800"/>
        <c:crosses val="autoZero"/>
        <c:auto val="1"/>
        <c:lblAlgn val="ctr"/>
        <c:lblOffset val="100"/>
        <c:noMultiLvlLbl val="0"/>
      </c:catAx>
      <c:valAx>
        <c:axId val="523488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34726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财政拨款支出对比</c:v>
                </c:pt>
              </c:strCache>
            </c:strRef>
          </c:tx>
          <c:invertIfNegative val="0"/>
          <c:dLbls>
            <c:delete val="1"/>
          </c:dLbls>
          <c:cat>
            <c:numRef>
              <c:f>Sheet1!$A$2:$A$3</c:f>
              <c:numCache>
                <c:formatCode>General</c:formatCode>
                <c:ptCount val="2"/>
                <c:pt idx="0">
                  <c:v>2020</c:v>
                </c:pt>
                <c:pt idx="1">
                  <c:v>2019</c:v>
                </c:pt>
              </c:numCache>
            </c:numRef>
          </c:cat>
          <c:val>
            <c:numRef>
              <c:f>Sheet1!$B$2:$B$3</c:f>
              <c:numCache>
                <c:formatCode>General</c:formatCode>
                <c:ptCount val="2"/>
                <c:pt idx="0">
                  <c:v>794.35</c:v>
                </c:pt>
                <c:pt idx="1">
                  <c:v>827.4</c:v>
                </c:pt>
              </c:numCache>
            </c:numRef>
          </c:val>
        </c:ser>
        <c:dLbls>
          <c:showLegendKey val="0"/>
          <c:showVal val="0"/>
          <c:showCatName val="0"/>
          <c:showSerName val="0"/>
          <c:showPercent val="0"/>
          <c:showBubbleSize val="0"/>
        </c:dLbls>
        <c:gapWidth val="150"/>
        <c:axId val="92018176"/>
        <c:axId val="92019712"/>
      </c:barChart>
      <c:catAx>
        <c:axId val="9201817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2019712"/>
        <c:crosses val="autoZero"/>
        <c:auto val="1"/>
        <c:lblAlgn val="ctr"/>
        <c:lblOffset val="100"/>
        <c:noMultiLvlLbl val="0"/>
      </c:catAx>
      <c:valAx>
        <c:axId val="92019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201817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0B3D9-C1A2-4178-98AD-9E7D10E118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1901</Words>
  <Characters>10840</Characters>
  <Lines>90</Lines>
  <Paragraphs>25</Paragraphs>
  <TotalTime>1</TotalTime>
  <ScaleCrop>false</ScaleCrop>
  <LinksUpToDate>false</LinksUpToDate>
  <CharactersWithSpaces>12716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2021-08-13T01:26:00Z</dcterms:created>
  <dc:creator>DELL</dc:creator>
  <cp:lastModifiedBy>九步皆爱</cp:lastModifiedBy>
  <cp:lastPrinted>2021-02-25T01:46:00Z</cp:lastPrinted>
  <dcterms:modified xsi:type="dcterms:W3CDTF">2021-09-27T01:52:33Z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154F7E9248A04628A315EBF0D28DB77C</vt:lpwstr>
  </property>
</Properties>
</file>