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p>
    <w:p>
      <w:pPr>
        <w:spacing w:line="560" w:lineRule="exact"/>
        <w:jc w:val="center"/>
        <w:rPr>
          <w:rFonts w:ascii="仿宋" w:hAnsi="仿宋" w:eastAsia="仿宋"/>
          <w:sz w:val="32"/>
          <w:szCs w:val="32"/>
        </w:rPr>
      </w:pPr>
    </w:p>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镇安县人民政府办公室</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jc w:val="left"/>
        <w:rPr>
          <w:sz w:val="32"/>
          <w:szCs w:val="32"/>
        </w:rPr>
      </w:pPr>
    </w:p>
    <w:p>
      <w:pPr>
        <w:ind w:firstLine="1120" w:firstLineChars="35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ind w:firstLine="1120" w:firstLineChars="350"/>
        <w:jc w:val="left"/>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ind w:firstLine="3520" w:firstLineChars="1100"/>
        <w:jc w:val="left"/>
        <w:rPr>
          <w:rFonts w:ascii="黑体" w:hAnsi="黑体" w:eastAsia="黑体" w:cs="黑体"/>
          <w:sz w:val="32"/>
          <w:szCs w:val="32"/>
        </w:rPr>
      </w:pPr>
    </w:p>
    <w:p>
      <w:pPr>
        <w:ind w:firstLine="3520" w:firstLineChars="1100"/>
        <w:jc w:val="left"/>
        <w:rPr>
          <w:rFonts w:ascii="黑体" w:hAnsi="黑体" w:eastAsia="黑体" w:cs="黑体"/>
          <w:sz w:val="32"/>
          <w:szCs w:val="32"/>
        </w:rPr>
      </w:pPr>
    </w:p>
    <w:p>
      <w:pPr>
        <w:rPr>
          <w:rFonts w:ascii="黑体" w:hAnsi="黑体" w:eastAsia="黑体" w:cs="黑体"/>
          <w:sz w:val="32"/>
          <w:szCs w:val="32"/>
        </w:rPr>
      </w:pPr>
      <w:r>
        <w:rPr>
          <w:rFonts w:ascii="黑体" w:hAnsi="黑体" w:eastAsia="黑体" w:cs="黑体"/>
          <w:sz w:val="32"/>
          <w:szCs w:val="32"/>
        </w:rPr>
        <w:br w:type="page"/>
      </w:r>
    </w:p>
    <w:p>
      <w:pPr>
        <w:jc w:val="center"/>
        <w:rPr>
          <w:rFonts w:ascii="宋体" w:hAnsi="宋体" w:cs="黑体"/>
          <w:sz w:val="32"/>
          <w:szCs w:val="32"/>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方正小标宋简体" w:hAnsi="方正小标宋简体" w:eastAsia="方正小标宋简体" w:cs="方正小标宋简体"/>
          <w:sz w:val="40"/>
          <w:szCs w:val="40"/>
        </w:rPr>
      </w:pPr>
      <w:bookmarkStart w:id="0" w:name="_GoBack"/>
      <w:bookmarkEnd w:id="0"/>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一、部门主要职责及内设机构</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1.认真贯彻执行县委、县政府决策部署,负责县政府的日常政务和事务。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2.协助县政府领导同志开展调查研究,反映情况,提出建议，发挥参谋助手作用；及时向市政府、县政府报送信息,反映各方面动态。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3.负责拟办各部门、各单位请示事项相关意见,报县政府领导同志审批；负责协调部门之间和县内外有关工作。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4.负责县政府、县政府办公室的文书处理和会议组织工作,协助县政府领导同志组织实施会议决定事项。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督促检查县政府各项决议、决定、重要工作部署和市县领导同志指示批示的贯彻落实情况,及时向县政府领导同志报告；负责全市和县人大代表、政协委员有关县政府系统的建议、提案的协调办理和督促检查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6.负责县政府值班工作,报告重要和紧急事件情况,传达落实市县领导同志指示批示。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7.负责县政府、县政府办公室的政务公开工作,指导全县政府系统政务公开工作。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8.负责县级机关电子政务外网建设工作,指导全县政府系统电子政务工作。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9.负责全县政府职能转变和“放管服”改革工作。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10.负责政府办机关事务管理工作。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落实省、市、县关于电子政务方面的安排部署，负责内、外网县政府门户网站、政务新媒体的建设、内容保障和运行管理方面的事务性工作；承担市县政府门户网站有关我县内容保障服务工作；承担县政府及县政府办公室有关政务数据和应用系统的建设和运行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12.完成县委、县政府交办的其他任务。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按照“三定方案”，镇安县人民政府办公室内设总值班室、机要股、秘书股、综合一股、综合二股、综合三股信息调研股、政策法规股、金融服务股、信访接待股10个股室；挂牌管理督查室1个单位；下辖电子政务中心、镇安县金融服务中心、信访接待中心3个单位。县政府办公室共有行政编制27人（含县政府领导7人），事业编25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二、部门决算单位构成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纳入2020年本部门决算编制范围的单位共1个，包括本级所属0个二级预算单位：</w:t>
      </w:r>
    </w:p>
    <w:tbl>
      <w:tblPr>
        <w:tblStyle w:val="8"/>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黑体" w:hAnsi="黑体" w:eastAsia="黑体" w:cs="黑体"/>
                <w:sz w:val="32"/>
                <w:szCs w:val="32"/>
              </w:rPr>
            </w:pPr>
            <w:r>
              <w:rPr>
                <w:rFonts w:hint="eastAsia" w:ascii="黑体" w:hAnsi="黑体" w:eastAsia="黑体" w:cs="黑体"/>
                <w:sz w:val="32"/>
                <w:szCs w:val="32"/>
              </w:rPr>
              <w:t>序号</w:t>
            </w:r>
          </w:p>
        </w:tc>
        <w:tc>
          <w:tcPr>
            <w:tcW w:w="6634"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黑体" w:hAnsi="黑体" w:eastAsia="黑体" w:cs="黑体"/>
                <w:sz w:val="32"/>
                <w:szCs w:val="32"/>
              </w:rPr>
            </w:pPr>
            <w:r>
              <w:rPr>
                <w:rFonts w:hint="eastAsia" w:ascii="黑体" w:hAnsi="黑体" w:eastAsia="黑体" w:cs="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634"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镇安县人民政府办公室机关</w:t>
            </w:r>
          </w:p>
        </w:tc>
      </w:tr>
    </w:tbl>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三、部门人员情况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截止2020年底，本部门人员编制52人，其中行政编制27人、事业编制25人；实有人员62人，其中行政30人、事业32人。单位管理的离退休人员0人。</w:t>
      </w: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32"/>
          <w:szCs w:val="32"/>
        </w:rPr>
        <w:drawing>
          <wp:inline distT="0" distB="0" distL="0" distR="0">
            <wp:extent cx="4657725" cy="273240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6" cstate="print"/>
                    <a:srcRect/>
                    <a:stretch>
                      <a:fillRect/>
                    </a:stretch>
                  </pic:blipFill>
                  <pic:spPr>
                    <a:xfrm>
                      <a:off x="0" y="0"/>
                      <a:ext cx="4665324" cy="2737153"/>
                    </a:xfrm>
                    <a:prstGeom prst="rect">
                      <a:avLst/>
                    </a:prstGeom>
                    <a:noFill/>
                  </pic:spPr>
                </pic:pic>
              </a:graphicData>
            </a:graphic>
          </wp:inline>
        </w:drawing>
      </w:r>
    </w:p>
    <w:p>
      <w:pPr>
        <w:rPr>
          <w:rFonts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ind w:firstLine="1600" w:firstLineChars="40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8"/>
        <w:tblW w:w="88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3915"/>
        <w:gridCol w:w="141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黑体" w:hAnsi="黑体" w:eastAsia="黑体" w:cs="黑体"/>
                <w:sz w:val="24"/>
                <w:szCs w:val="24"/>
              </w:rPr>
            </w:pPr>
            <w:r>
              <w:rPr>
                <w:rFonts w:hint="eastAsia" w:ascii="宋体" w:hAnsi="宋体" w:cs="宋体"/>
                <w:sz w:val="24"/>
                <w:szCs w:val="24"/>
              </w:rPr>
              <w:t>序号</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黑体"/>
                <w:sz w:val="24"/>
                <w:szCs w:val="24"/>
              </w:rPr>
            </w:pPr>
            <w:r>
              <w:rPr>
                <w:rFonts w:hint="eastAsia" w:ascii="黑体" w:hAnsi="黑体" w:eastAsia="黑体" w:cs="黑体"/>
                <w:sz w:val="24"/>
                <w:szCs w:val="24"/>
              </w:rPr>
              <w:t>内容</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黑体"/>
                <w:sz w:val="24"/>
                <w:szCs w:val="24"/>
              </w:rPr>
            </w:pPr>
            <w:r>
              <w:rPr>
                <w:rFonts w:hint="eastAsia" w:ascii="黑体" w:hAnsi="黑体" w:eastAsia="黑体" w:cs="黑体"/>
                <w:sz w:val="24"/>
                <w:szCs w:val="24"/>
              </w:rPr>
              <w:t>是否空表</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黑体"/>
                <w:sz w:val="24"/>
                <w:szCs w:val="24"/>
              </w:rPr>
            </w:pPr>
            <w:r>
              <w:rPr>
                <w:rFonts w:hint="eastAsia" w:ascii="黑体" w:hAnsi="黑体" w:eastAsia="黑体" w:cs="黑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表1</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收入支出决算总表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表2</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收入决算表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表3</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支出决算表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表4</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财政拨款收入支出决算总表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表5</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一般公共预算财政拨款支出决算表（按功能分类科目）</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表6</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一般公共预算财政拨款基本支出决算表（按经济分类科目）</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表7</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一般公共预算财政拨款“三公”经费及会议费、培训费支出决算表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2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表8</w:t>
            </w:r>
          </w:p>
        </w:tc>
        <w:tc>
          <w:tcPr>
            <w:tcW w:w="3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24"/>
                <w:szCs w:val="24"/>
              </w:rPr>
            </w:pPr>
            <w:r>
              <w:rPr>
                <w:rFonts w:hint="eastAsia" w:ascii="宋体" w:hAnsi="宋体" w:cs="宋体"/>
                <w:sz w:val="24"/>
                <w:szCs w:val="24"/>
              </w:rPr>
              <w:t>政府性基金预算财政拨款收入支出决算表</w:t>
            </w:r>
          </w:p>
        </w:tc>
        <w:tc>
          <w:tcPr>
            <w:tcW w:w="1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是</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sz w:val="24"/>
                <w:szCs w:val="24"/>
              </w:rPr>
            </w:pPr>
            <w:r>
              <w:rPr>
                <w:rFonts w:hint="eastAsia" w:ascii="宋体" w:hAnsi="宋体" w:cs="宋体"/>
                <w:sz w:val="24"/>
                <w:szCs w:val="24"/>
              </w:rPr>
              <w:t>本单位无基金预算收支</w:t>
            </w:r>
          </w:p>
        </w:tc>
      </w:tr>
    </w:tbl>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ind w:firstLine="6425" w:firstLineChars="3200"/>
        <w:jc w:val="right"/>
        <w:rPr>
          <w:rFonts w:hint="eastAsia" w:ascii="宋体" w:hAnsi="宋体" w:eastAsia="宋体" w:cs="宋体"/>
          <w:b/>
          <w:bCs/>
          <w:sz w:val="20"/>
          <w:szCs w:val="20"/>
        </w:rPr>
      </w:pPr>
      <w:r>
        <w:rPr>
          <w:rFonts w:hint="eastAsia" w:ascii="宋体" w:hAnsi="宋体" w:eastAsia="宋体" w:cs="宋体"/>
          <w:b/>
          <w:bCs/>
          <w:sz w:val="20"/>
          <w:szCs w:val="20"/>
        </w:rPr>
        <w:t>公开01表</w:t>
      </w:r>
    </w:p>
    <w:p>
      <w:pPr>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59"/>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6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39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19.66</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49.98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1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1193.17</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1193.17</w:t>
            </w:r>
          </w:p>
        </w:tc>
      </w:tr>
    </w:tbl>
    <w:p>
      <w:pPr>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ind w:firstLine="2891" w:firstLineChars="1200"/>
        <w:rPr>
          <w:rFonts w:ascii="仿宋_GB2312" w:hAnsi="仿宋_GB2312" w:eastAsia="仿宋_GB2312" w:cs="仿宋_GB2312"/>
          <w:b/>
          <w:bCs/>
          <w:sz w:val="24"/>
        </w:rPr>
      </w:pPr>
      <w:r>
        <w:rPr>
          <w:rFonts w:hint="eastAsia" w:ascii="仿宋_GB2312" w:hAnsi="仿宋_GB2312" w:eastAsia="仿宋_GB2312" w:cs="仿宋_GB2312"/>
          <w:b/>
          <w:bCs/>
          <w:sz w:val="24"/>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903"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559"/>
        <w:gridCol w:w="1195"/>
        <w:gridCol w:w="1066"/>
        <w:gridCol w:w="958"/>
        <w:gridCol w:w="633"/>
        <w:gridCol w:w="1134"/>
        <w:gridCol w:w="661"/>
        <w:gridCol w:w="903"/>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64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19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本年收入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财政拨款</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5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76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6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0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9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64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1173.51</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1173.51</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1171.41</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1171.41</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621.18</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621.18</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2010302</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313.50</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313.50</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2010306</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政务公开审批</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29.50</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29.50</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2010399</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其他政府办公厅（室）及相关机构事务支出</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207.23</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207.23</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纪检监察查</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2011101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10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1418"/>
        <w:gridCol w:w="1276"/>
        <w:gridCol w:w="1275"/>
        <w:gridCol w:w="830"/>
        <w:gridCol w:w="62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94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4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7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27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83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62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96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4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2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94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622.68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520.50</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1142.60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622.68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520.50</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1142.60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622.10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520.50</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622.10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2010302</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313.50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313.50</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2010306</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政务公开审批</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27.98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27.98</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2010399</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其他政府办公厅（室）及相关机构事务支出</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179.02</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179.02</w:t>
            </w: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纪检监察查</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2011101</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540"/>
        <w:gridCol w:w="1701"/>
        <w:gridCol w:w="1275"/>
        <w:gridCol w:w="156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36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640"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1173.51</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1143.19</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19.66</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49.98</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49.98</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5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1193.17</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1193.17</w:t>
            </w:r>
          </w:p>
        </w:tc>
        <w:tc>
          <w:tcPr>
            <w:tcW w:w="15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1193.17</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680"/>
        <w:gridCol w:w="1418"/>
        <w:gridCol w:w="1275"/>
        <w:gridCol w:w="1276"/>
        <w:gridCol w:w="1134"/>
        <w:gridCol w:w="127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2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4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本年支出</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3685"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27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42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4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27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42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2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1143.19</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622.68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541.76</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80.92</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520.50</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1143.19</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622.68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541.76</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80.92</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520.50</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1143.19</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622.68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541.76</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80.92</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520.50</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622.11</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622.10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right="-248" w:rightChars="-118"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541.76</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80.34</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2010302</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313.50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313.50</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313.50</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2010306</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政务公开审批</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27.98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27.98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27.98</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2010399</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其他政府办公厅（室）及相关机构事务支出</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179.02</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179.02</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179.02</w:t>
            </w: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纪检监察查</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4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2011101.</w:t>
            </w:r>
          </w:p>
        </w:tc>
        <w:tc>
          <w:tcPr>
            <w:tcW w:w="16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0.58</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4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ind w:firstLine="6425" w:firstLineChars="3200"/>
        <w:jc w:val="right"/>
        <w:rPr>
          <w:rFonts w:hint="eastAsia" w:ascii="宋体" w:hAnsi="宋体" w:eastAsia="宋体" w:cs="宋体"/>
          <w:b/>
          <w:bCs/>
          <w:sz w:val="20"/>
          <w:szCs w:val="20"/>
        </w:rPr>
      </w:pPr>
      <w:r>
        <w:rPr>
          <w:rFonts w:hint="eastAsia" w:ascii="宋体" w:hAnsi="宋体" w:eastAsia="宋体" w:cs="宋体"/>
          <w:b/>
          <w:bCs/>
          <w:sz w:val="20"/>
          <w:szCs w:val="20"/>
        </w:rPr>
        <w:t>公开06表</w:t>
      </w:r>
    </w:p>
    <w:p>
      <w:pPr>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534"/>
        <w:gridCol w:w="1435"/>
        <w:gridCol w:w="1080"/>
        <w:gridCol w:w="123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0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43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08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23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2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4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3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0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1143.19</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sz w:val="20"/>
                <w:szCs w:val="20"/>
              </w:rPr>
              <w:t>541.76</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sz w:val="20"/>
                <w:szCs w:val="20"/>
              </w:rPr>
              <w:t>601.43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301</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541.76</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541.76</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242.23</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242.23</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162.92</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162.92</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77.59</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77.59</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机关事业单位基本养老保险缴费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50.75</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50.75</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30110</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职工基本医疗保险缴费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0.23</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0.23</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30112</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8.04</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8.04</w:t>
            </w: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302</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601.43</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601.43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38.18</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38.18</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13.91</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13.91</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30204</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手续费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0.42</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0.42</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8.69</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8.69</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6.66</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6.66</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6.33</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6.33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30209</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物业管理费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0.92</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0.92</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30211</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20.24</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20.24</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30213</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维修（护）费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272.92</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272.92</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30216</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培训费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0.94</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0.94</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30217</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公务接待费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30226</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13.40</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13.40</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30227</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委托业务费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81.21</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81.21</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30229</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其他交通费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97.30</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97.30</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30228</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18.35</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18.35</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30231</w:t>
            </w:r>
          </w:p>
        </w:tc>
        <w:tc>
          <w:tcPr>
            <w:tcW w:w="25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公务用车运行维护费</w:t>
            </w:r>
          </w:p>
        </w:tc>
        <w:tc>
          <w:tcPr>
            <w:tcW w:w="14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19.98</w:t>
            </w:r>
          </w:p>
        </w:tc>
        <w:tc>
          <w:tcPr>
            <w:tcW w:w="10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19.98</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06"/>
        <w:gridCol w:w="1007"/>
        <w:gridCol w:w="1058"/>
        <w:gridCol w:w="956"/>
        <w:gridCol w:w="1007"/>
        <w:gridCol w:w="1439"/>
        <w:gridCol w:w="851"/>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473"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9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4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2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w:t>
            </w:r>
          </w:p>
        </w:tc>
        <w:tc>
          <w:tcPr>
            <w:tcW w:w="9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31.00</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21.97</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w:t>
            </w:r>
          </w:p>
        </w:tc>
        <w:tc>
          <w:tcPr>
            <w:tcW w:w="9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19.98</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19.98</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6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0.94</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ascii="宋体" w:hAnsi="宋体" w:cs="宋体"/>
          <w:sz w:val="20"/>
          <w:szCs w:val="20"/>
        </w:rPr>
      </w:pPr>
    </w:p>
    <w:p>
      <w:pPr>
        <w:rPr>
          <w:rFonts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69"/>
        <w:gridCol w:w="1133"/>
        <w:gridCol w:w="1133"/>
        <w:gridCol w:w="1133"/>
        <w:gridCol w:w="113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99"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spacing w:line="360" w:lineRule="exact"/>
        <w:jc w:val="center"/>
        <w:rPr>
          <w:rFonts w:ascii="方正小标宋简体" w:hAnsi="方正小标宋简体" w:eastAsia="方正小标宋简体" w:cs="方正小标宋简体"/>
          <w:sz w:val="36"/>
          <w:szCs w:val="36"/>
        </w:rPr>
      </w:pPr>
      <w:r>
        <w:rPr>
          <w:rFonts w:hint="eastAsia" w:ascii="宋体" w:hAnsi="宋体" w:cs="宋体"/>
          <w:sz w:val="20"/>
          <w:szCs w:val="20"/>
        </w:rPr>
        <w:br w:type="page"/>
      </w: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编制部门：镇安县人政府办公室</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5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jc w:val="center"/>
        <w:rPr>
          <w:rFonts w:ascii="宋体" w:hAnsi="宋体" w:cs="宋体"/>
          <w:sz w:val="20"/>
          <w:szCs w:val="2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2020年收入、支出总计1193.17万元，与2019年相比，收入、支出总计各增加106.85万元，增加9.8%，主要是：增资津补贴等、网络信息化建设、网站升级改版等项目专项经费。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3868420" cy="2265045"/>
            <wp:effectExtent l="0" t="0" r="17780" b="190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noChangeArrowheads="1"/>
                    </pic:cNvPicPr>
                  </pic:nvPicPr>
                  <pic:blipFill>
                    <a:blip r:embed="rId7" cstate="print"/>
                    <a:srcRect/>
                    <a:stretch>
                      <a:fillRect/>
                    </a:stretch>
                  </pic:blipFill>
                  <pic:spPr>
                    <a:xfrm>
                      <a:off x="0" y="0"/>
                      <a:ext cx="3868420" cy="2265045"/>
                    </a:xfrm>
                    <a:prstGeom prst="rect">
                      <a:avLst/>
                    </a:prstGeom>
                    <a:noFill/>
                  </pic:spPr>
                </pic:pic>
              </a:graphicData>
            </a:graphic>
          </wp:inline>
        </w:drawing>
      </w:r>
    </w:p>
    <w:p>
      <w:pPr>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2020年收入合计1173.51万元，其中：财政拨款收入1173.51万元，占总收入100%，职业收入0万元，占总收入0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，其他收入0万元，占总收入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186555" cy="2328545"/>
            <wp:effectExtent l="0" t="0" r="4445" b="1460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8" cstate="print"/>
                    <a:srcRect/>
                    <a:stretch>
                      <a:fillRect/>
                    </a:stretch>
                  </pic:blipFill>
                  <pic:spPr>
                    <a:xfrm>
                      <a:off x="0" y="0"/>
                      <a:ext cx="4186555" cy="2328545"/>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2020年支出合计1143.19万元，其中：基本支出622.68万元，占总支出54.47%；项目支出520.50万元，占总支出45.53%。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381500" cy="2581910"/>
            <wp:effectExtent l="0" t="0" r="0" b="889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9" cstate="print"/>
                    <a:srcRect/>
                    <a:stretch>
                      <a:fillRect/>
                    </a:stretch>
                  </pic:blipFill>
                  <pic:spPr>
                    <a:xfrm>
                      <a:off x="0" y="0"/>
                      <a:ext cx="4381500" cy="2581910"/>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2020年度财政拨款收入、支出总计1193.17万元，与2019年度相比，财政拨款收入、支出总计增加108.77万元，增加10%，主要是：增资津补贴等、网络信息化建设、网站升级改版等项目专项经费。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4535170" cy="2581275"/>
            <wp:effectExtent l="0" t="0" r="1778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10" cstate="print"/>
                    <a:srcRect/>
                    <a:stretch>
                      <a:fillRect/>
                    </a:stretch>
                  </pic:blipFill>
                  <pic:spPr>
                    <a:xfrm>
                      <a:off x="0" y="0"/>
                      <a:ext cx="4535170" cy="2581275"/>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2020年财政拨款支出1143.19万元，占本年支出合计100%。与2019年相比，财政拨款支出增加78.44万元，增加7.36%，主要原因是：增资津补贴等、网络信息化建设、网站升级改版等项目专项经费。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433570" cy="2985770"/>
            <wp:effectExtent l="0" t="0" r="5080" b="50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1" cstate="print"/>
                    <a:srcRect/>
                    <a:stretch>
                      <a:fillRect/>
                    </a:stretch>
                  </pic:blipFill>
                  <pic:spPr>
                    <a:xfrm>
                      <a:off x="0" y="0"/>
                      <a:ext cx="4433570" cy="2985770"/>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2020年财政拨款支出年初预算为662.7万元，调整预算为1193.17万元，支出决算为1143.19万元，完成预算的95.81%。按照政府功能分类科目分，其中：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1.一般公共服务支出（201类）政府办公厅（室）及相关机构事务（03款）行政运行（01项）。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年初预算为487.02万元，调整预算为622.18万元，支出决算为622.11万元，完成预算的99.98%。决算数小于预算数的主要原因是：压缩一般性支出，严格控制各项经费。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2.一般公共服务支出（201类）政府办公厅（室）及相关机构事务（03款）一般行政管理事务（02项）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年初预算为0万元，调整预算为313.50万元，支出决算为313.50万元，完成预算的100%，决算数和预算数持平的主要原因是：网络信息化建设、网站升级改版等项目专项经费。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3.一般公共服务支出（201类）政府办公厅（室）及相关机构事务（03款）政务公开审批（06项）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年初预算为0万元，调整预算为29.50万元，支出决算为27.98万元，完成预算的94.84%。决算数小于预算数的主要原因是：压缩一般性支出，严格控制各项经费。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4.一般公共服务支出（201类）政府办公厅（室）及相关机构事务（03款）其他政府办公厅（室）及相关机构事务支出（99项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年初预算为147万元，调整预算为207.23万元，支出决算为179.02万元，完成预算的86.38%。决算数小于预算数的主要原因是：压缩一般性支出，严格控制各项经费。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5.一般公共服务支出（201类）政府办公厅（室）纪检监察事务（11款）行政运行（01项）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年初预算为0万元，调整预算为2.1万元，支出决算为0.58万元，完成预算的27.62%。决算数小于预算数的主要原因是：新成立的纪检监察组压缩一般性支出，严格控制各项经费。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2020年一般公共预算财政拨款基本支出622.68元，包括：人员经费支出541.76万元和公用经费支出80.92万元。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541.76万元，主要包括基本工资242.23万元、津贴补贴162.92万元、奖金77.59万元、机关事业单位基本保险养老缴费50.75万元、职工基本医疗保险0.23万元、其他社会保障缴费8.04万元、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80.92万元，主要包括办公费12.64万元、印刷费10.07万元、手续费0.42万元、水费7.71万元、电费4.56万元、邮电费5.08万元、物业管理费0.92万元、差旅费18.24万元、培训费0.94万元、公务接待费1.99万元、公会经费18.35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2020年“三公”经费财政拨款支出预算为38万元，支出决算为22.91万元，完成预算的60.28%。决算数较预算数减少15.09万元，主要原因是：因新冠疫情影响减少交通出行和减少公务接待活动。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本单位无因公出国（境）费用；公务用车购置费支出0万元，占“三公”经费总支出0%；公务用车运行维护费支出决算19.98万元，占“三公”经费总支出87.21%；公务接待费支出决算1.99万元，占“三公”经费总支出12.79%。具体情况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4391025" cy="2514600"/>
            <wp:effectExtent l="1905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12" cstate="print"/>
                    <a:srcRect/>
                    <a:stretch>
                      <a:fillRect/>
                    </a:stretch>
                  </pic:blipFill>
                  <pic:spPr>
                    <a:xfrm>
                      <a:off x="0" y="0"/>
                      <a:ext cx="4391025" cy="2514600"/>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2020年因公出国（境）团组0个，0人次，预算为0万元，支出决算为0万元，完成预算的0%，决算数预算持平，主要原因是本单位无因公出国（境）费用。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2020年购置车辆0台，预算为0万元，支出决算为0万元，完成预算的0%，决算数与预算数持平，主要原因是本单位无公务用车购置。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2020年公务用车运行维护费预算为31万元，支出决算为19.98万元，完成预算的64.45%，决算数较预算数减少11.02万元，主要原因是因新冠疫情影响减少交通出行压缩一般性支出，严格控制各项经费。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2020年公务接待42批次，320人次，预算为7万元，支出决算为1.99万元，完成预算的28.42%，决算数较预算数减少5.01万元，主要原因是因新冠疫情影响减少公务接待。压缩一般性支出，严格控制各项经费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2020年培训费预算为5.1万元，支出决算为0.94万元，完成预算的18.43%，决算数较预算数减少4.16万元，主要原因是因新冠疫情影响，会议和培训实行合并减少了培训次数。压缩了培训费支出。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2020年会议费预算为0万元，支出决算为0万元，完成预算的0%，决算数较预算数持平，主要原因是本单位无会议费支出安排。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八、</w:t>
      </w:r>
      <w:r>
        <w:rPr>
          <w:rFonts w:hint="eastAsia" w:ascii="黑体" w:hAnsi="黑体" w:eastAsia="黑体" w:cs="黑体"/>
          <w:sz w:val="32"/>
          <w:szCs w:val="32"/>
        </w:rPr>
        <w:t>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2个，二级项目0个，共涉及资金550.25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我单位在2019年度部门决算中反映的部门工作专项和网络建设维护费等共2个一级项目绩效自评结果。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1.网络维护建设项目绩效自评综述：</w:t>
      </w:r>
      <w:r>
        <w:rPr>
          <w:rFonts w:hint="eastAsia" w:ascii="仿宋_GB2312" w:hAnsi="仿宋_GB2312" w:eastAsia="仿宋_GB2312" w:cs="仿宋_GB2312"/>
          <w:sz w:val="32"/>
          <w:szCs w:val="32"/>
        </w:rPr>
        <w:t>根据年初设定的绩效目标，项目自评得分94分。项目全年预算数313.25万元，执行数313.25万元，完成预算的100%。主要产出和效果：根据年初设定的绩效目标，项目自评得分94分。项目全年预算数313.25万元，执行数313.25万元，完成预算的100%。主要产出和效果：通过项目实施更好的满足业务发展需求，保障了信息系统安全稳定运行，延长了网络设备使用寿命，提高政务服务信息化和办公自动化水平，实现部门间信息互联互通，有效提高工作效率和信息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z w:val="32"/>
          <w:szCs w:val="32"/>
        </w:rPr>
      </w:pPr>
      <w:r>
        <w:rPr>
          <w:rFonts w:hint="eastAsia" w:ascii="仿宋_GB2312" w:hAnsi="仿宋_GB2312" w:eastAsia="仿宋_GB2312" w:cs="仿宋_GB2312"/>
          <w:b/>
          <w:sz w:val="32"/>
          <w:szCs w:val="32"/>
        </w:rPr>
        <w:t>2.部门工作专项自评综述：</w:t>
      </w:r>
      <w:r>
        <w:rPr>
          <w:rFonts w:hint="eastAsia" w:ascii="仿宋_GB2312" w:hAnsi="仿宋_GB2312" w:eastAsia="仿宋_GB2312" w:cs="仿宋_GB2312"/>
          <w:sz w:val="32"/>
          <w:szCs w:val="32"/>
        </w:rPr>
        <w:t>根据年初设定的绩效目标，项目自评得分100分。项目全年预算数235万元，执行数235万元，完成预算的100%。主要产出和效果：</w:t>
      </w:r>
      <w:r>
        <w:rPr>
          <w:rFonts w:ascii="仿宋" w:hAnsi="仿宋" w:eastAsia="仿宋"/>
          <w:sz w:val="32"/>
          <w:szCs w:val="32"/>
        </w:rPr>
        <w:t>20</w:t>
      </w:r>
      <w:r>
        <w:rPr>
          <w:rFonts w:hint="eastAsia" w:ascii="仿宋" w:hAnsi="仿宋" w:eastAsia="仿宋"/>
          <w:sz w:val="32"/>
          <w:szCs w:val="32"/>
        </w:rPr>
        <w:t>20年，</w:t>
      </w:r>
      <w:r>
        <w:rPr>
          <w:rFonts w:hint="eastAsia" w:ascii="仿宋_GB2312" w:hAnsi="仿宋" w:eastAsia="仿宋_GB2312"/>
          <w:sz w:val="32"/>
          <w:szCs w:val="32"/>
        </w:rPr>
        <w:t>镇安县人民政府办公室紧紧围绕县委、县政府中心工作，以创建学习型、服务型、创新型、法治型、廉洁型“五型机关”为目标，坚持在精准参谋、精心服务、精细保障上下功夫，争做落实县委、县政府决策部署的表率，为县政府各项工作高效运转和各项决策部署的贯彻落实提供有力保障。全面贯彻落实县委、县政府的决策部署，认真完成领导交办的各项工作，做好县政府全体会、常务会、办公会、专题会等各类会议筹备组织工作，做好县政府文件、讲话、汇报、调研等各类材料的起草、审核和把关工作，切实提高办文办会及提高协调服务能力。好县政府网站的管理和维护工作，及时反映县域工作动态，广泛宣传惠民政策，认真办理“县长信箱”，发挥网站窗口服务功能。做好县政府及办公室的后勤保障工作，确保县政府各项工作高效有序运转。切实做好机关党建、党风廉政、驻村扶贫、开展金融扶贫工作提供服务，做好金融政策宣传。综治维稳、精神文明建设等各项工作，确保年度目标任务的顺利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p>
    <w:p>
      <w:pPr>
        <w:spacing w:line="46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通用项目--电子政务中心网络建设维护费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37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实施单位</w:t>
            </w:r>
          </w:p>
        </w:tc>
        <w:tc>
          <w:tcPr>
            <w:tcW w:w="267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4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全年预算数（A）</w:t>
            </w:r>
          </w:p>
        </w:tc>
        <w:tc>
          <w:tcPr>
            <w:tcW w:w="219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315.25</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315.25</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315.25</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315.25</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目标</w:t>
            </w:r>
          </w:p>
        </w:tc>
        <w:tc>
          <w:tcPr>
            <w:tcW w:w="43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909"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43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仿宋_GB2312" w:hAnsi="仿宋_GB2312" w:cs="仿宋_GB2312"/>
                <w:sz w:val="18"/>
                <w:szCs w:val="18"/>
              </w:rPr>
              <w:t>为了提高政务服务信息化和办公自动化水平，实现部门间信息互联互通，有效提高工作效率和信息化水平。</w:t>
            </w:r>
          </w:p>
        </w:tc>
        <w:tc>
          <w:tcPr>
            <w:tcW w:w="390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仿宋_GB2312" w:hAnsi="仿宋_GB2312" w:cs="仿宋_GB2312"/>
                <w:sz w:val="18"/>
                <w:szCs w:val="18"/>
              </w:rPr>
              <w:t>电子政务网络建设已全面完成总体目标任务，有效的提高了政务服务信息化和办公自动化水平，实现部门间信息互联互通，有效提高工作效率和信息化水平。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二级指标</w:t>
            </w:r>
          </w:p>
        </w:tc>
        <w:tc>
          <w:tcPr>
            <w:tcW w:w="254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年度指标值</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数量指标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指标1：硬件维护数量</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63台/套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指标2：软件维护数量</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指标3：系统维护数量</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6套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质量指标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指标1：系统验收合格率</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指标1：政府公众信息社会影响力</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有所提升</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指标2：主页点击量增长率</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30%</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56" w:firstLineChars="198"/>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服务对象满意度指标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sz w:val="18"/>
                <w:szCs w:val="18"/>
              </w:rPr>
            </w:pPr>
            <w:r>
              <w:rPr>
                <w:rFonts w:hint="eastAsia" w:ascii="宋体" w:hAnsi="宋体" w:cs="宋体"/>
                <w:sz w:val="18"/>
                <w:szCs w:val="18"/>
              </w:rPr>
              <w:t>社会公众及其他部门的满意度</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不断提高</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300" w:lineRule="exact"/>
        <w:ind w:left="540" w:hanging="540" w:hangingChars="300"/>
        <w:textAlignment w:val="auto"/>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30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30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00" w:lineRule="exact"/>
        <w:ind w:left="579" w:leftChars="190" w:hanging="180" w:hangingChars="100"/>
        <w:rPr>
          <w:rFonts w:ascii="宋体" w:hAnsi="宋体" w:cs="宋体"/>
          <w:sz w:val="18"/>
          <w:szCs w:val="18"/>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通用项目——部门工作专项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镇安县人民政府办公室</w:t>
            </w: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实施单位</w:t>
            </w:r>
          </w:p>
        </w:tc>
        <w:tc>
          <w:tcPr>
            <w:tcW w:w="2533"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镇安县人民政府办公室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235</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235</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235</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235</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紧紧围绕县委、县政府中心工作，以创建学习型、服务型、创新型、法治型、廉洁型“五型机关”为目标，坚持在精准参谋、精心服务、精细保障上下功夫，争做落实县委、县政府决策部署的表率，为县政府各项工作高效运转和各项决策部署的贯彻落实提供有力保障</w:t>
            </w:r>
          </w:p>
        </w:tc>
        <w:tc>
          <w:tcPr>
            <w:tcW w:w="36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全面高效完成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 xml:space="preserve">  指</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 xml:space="preserve">  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指标1：严格执行预算“三公”经费规模</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只减不增</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90%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指标2：一般性支出规模</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压缩支出</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指标1：文件质量</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达到标准</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指标2：办文办会质量</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无重大失误</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指标3：部门协调事务质量</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部门满意</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指标4：</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指标5：</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时效指标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指标1：整体工作时限</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全年完成</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全年</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指标2：突击工作时限</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按要求完成</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指标3：日常工作时限</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有计划完成</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成本指标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指标1：支出标准</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符合标准</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无超支</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指标2：支出金额</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依据相关标准</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符合</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指标3：</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指标4：</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指标5：</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指标6：</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指标1：社会公众及部门满意</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群众及部门满意</w:t>
            </w: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指标2：</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说明</w:t>
            </w:r>
          </w:p>
        </w:tc>
        <w:tc>
          <w:tcPr>
            <w:tcW w:w="8292"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0" w:firstLineChars="0"/>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240" w:lineRule="exact"/>
        <w:ind w:left="540" w:hanging="540" w:hangingChars="300"/>
        <w:textAlignment w:val="auto"/>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24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240" w:lineRule="exact"/>
        <w:ind w:left="579" w:leftChars="190" w:hanging="180" w:hangingChars="100"/>
        <w:textAlignment w:val="auto"/>
        <w:rPr>
          <w:rFonts w:ascii="宋体" w:hAnsi="宋体" w:cs="宋体"/>
          <w:sz w:val="18"/>
          <w:szCs w:val="18"/>
        </w:rPr>
        <w:sectPr>
          <w:pgSz w:w="11906" w:h="16838"/>
          <w:pgMar w:top="1984" w:right="1474" w:bottom="1701" w:left="1587" w:header="851" w:footer="1531" w:gutter="0"/>
          <w:cols w:space="0" w:num="1"/>
          <w:rtlGutter w:val="0"/>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21"/>
          <w:szCs w:val="21"/>
        </w:rPr>
      </w:pPr>
      <w:r>
        <w:rPr>
          <w:rFonts w:hint="eastAsia" w:ascii="宋体" w:hAnsi="宋体" w:cs="宋体"/>
          <w:sz w:val="21"/>
          <w:szCs w:val="21"/>
        </w:rPr>
        <w:t>（2020年度）</w:t>
      </w:r>
    </w:p>
    <w:p>
      <w:pPr>
        <w:spacing w:line="300" w:lineRule="exact"/>
        <w:rPr>
          <w:rFonts w:ascii="宋体" w:hAnsi="宋体" w:cs="宋体"/>
          <w:sz w:val="21"/>
          <w:szCs w:val="21"/>
        </w:rPr>
      </w:pPr>
      <w:r>
        <w:rPr>
          <w:rFonts w:hint="eastAsia" w:ascii="宋体" w:hAnsi="宋体" w:cs="宋体"/>
          <w:sz w:val="21"/>
          <w:szCs w:val="21"/>
        </w:rPr>
        <w:t>填报单位：镇安县人民政府办公室</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rPr>
        <w:t>自评得分：94</w:t>
      </w:r>
    </w:p>
    <w:tbl>
      <w:tblPr>
        <w:tblStyle w:val="8"/>
        <w:tblW w:w="15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3722"/>
        <w:gridCol w:w="2624"/>
        <w:gridCol w:w="1656"/>
        <w:gridCol w:w="734"/>
        <w:gridCol w:w="774"/>
        <w:gridCol w:w="879"/>
        <w:gridCol w:w="101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0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（一）简要概述部门职能与职责</w:t>
            </w:r>
          </w:p>
        </w:tc>
        <w:tc>
          <w:tcPr>
            <w:tcW w:w="8801"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认真贯彻执行县委、县政府决策部署,负责县政府的日常政务和事务。协助县政府领导同志开展调查研究,反映情况,提出建议，发挥参谋助手作用；及时向市政府、县政府报送信息,反映各方面动态。负责协调部门之间和县内外有关工作。负责县政府、县政府办公室的文书处理和会议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20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（二）简要概述部门支出情况，按活动内容分类</w:t>
            </w:r>
          </w:p>
        </w:tc>
        <w:tc>
          <w:tcPr>
            <w:tcW w:w="8801"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支出情况内容分为：工资福利支出、商品和服务支出、项目支出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20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（三）简要概述当年县委县政府下达的重点工作</w:t>
            </w:r>
          </w:p>
        </w:tc>
        <w:tc>
          <w:tcPr>
            <w:tcW w:w="8801"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督促检查县政府各项决议、决定、重要工作部署和市县领导同志指示批示的贯彻落实情况,及时向县政府领导同志报告；负责全市和县人大代表、政协委员有关县政府系统的建议、提案的协调办理和督促检查工作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分值</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评分标准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年初</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实际</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完成值</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得分</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绩效指标</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执行</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预算完成率</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预算完成数：部门（单位）本年度</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预算数：财政部门批复的本年度部门（单位）预算数。</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预算完成率=100%，得10分。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预算完成率≧95%的，得9分。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预算完成率在90%（含 ）和95%之间，得8分。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预算完成率在85%（含）和90%之间，得7分。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预算完成率在80%（含）和85%之间，得6分。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预算完成率在70%（含）和80%之间，得4分。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预算完成率在〈70%，得0分。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预算完成率=（预算完成数/预算数）×100%数据获取方式是2020年决算报表及批复文件</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预算调整率（5分）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pacing w:val="-6"/>
                <w:sz w:val="18"/>
                <w:szCs w:val="18"/>
              </w:rPr>
            </w:pPr>
            <w:r>
              <w:rPr>
                <w:rFonts w:hint="eastAsia" w:ascii="宋体" w:hAnsi="宋体" w:eastAsia="宋体" w:cs="宋体"/>
                <w:sz w:val="18"/>
                <w:szCs w:val="18"/>
              </w:rPr>
              <w:t>预算调整率</w:t>
            </w:r>
            <w:r>
              <w:rPr>
                <w:rFonts w:hint="eastAsia" w:ascii="宋体" w:hAnsi="宋体" w:eastAsia="宋体" w:cs="宋体"/>
                <w:spacing w:val="-6"/>
                <w:sz w:val="18"/>
                <w:szCs w:val="18"/>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预算包括一般公共预算与政府性基金预算。</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预算调整率绝对值≦5%,得5分。预算调整率绝对值〉5%的，每增加0.1个百分点扣0.1分，扣完为止。</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预算完成率=（预算完成数/预算数）×100%数据获取方式是2020年决算报表及批复文件</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分值</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评分标准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年初</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实际</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完成值</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得分</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绩效指标</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预算执行</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支出进度率（5分）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前三季度支出进度=部门前三季度实际支出/（上年结余结转+本年部门预算安排+前三季度执行中追加追减）*100%。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前三季度进度：进度率≧75%，得3分；进度率在60%（含）和75%之间，得2分；进度率〈60%，得0分。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集中支付</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系统</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95%</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疫情原因部分专项工作推迟，导致支出较慢</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预算编制准确率（5分）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预算编制准确率=其他收入决算数/其他收入预算数×100%-100%。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预算编制准确率〉40%，得0分。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无</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无</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本单位无其他收入预算</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预算管理</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“三公经费”控制率（5分）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“三公经费”控制率=（“三公经费”实际支出数/“三公经费”预算安排数）×100%，用以反映和考核部门（单位）对“三公经费”的实际控制程度。</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三公经费控制率≦100%，得5分，每增加0.1个百分点扣0.5分，扣完为止。</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“三公经费”控制率=（“三公经费”实际支出数/“三公经费”预算安排数）×100%</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52.3%</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资产管理规范性（5分）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1.新增资产配置按预算执行。</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3.资产收益及时、足额上缴财政。</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全部符合5分，有1项不符扣2分，扣完为止。</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资产管理系统</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规范</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规范</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分值</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评分标准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年初</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实际</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完成值</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得分</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绩效指标</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kern w:val="2"/>
                <w:sz w:val="18"/>
                <w:szCs w:val="18"/>
                <w:lang w:val="en-US" w:eastAsia="zh-CN" w:bidi="ar-SA"/>
              </w:rPr>
            </w:pPr>
            <w:r>
              <w:rPr>
                <w:rFonts w:hint="eastAsia" w:ascii="宋体" w:hAnsi="宋体" w:eastAsia="宋体" w:cs="宋体"/>
                <w:b/>
                <w:bCs/>
                <w:sz w:val="18"/>
                <w:szCs w:val="18"/>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资金使用合规性（5分）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3.重大项目开支经过评估论证；</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4.符合部门预算批复的用途；</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5.不存</w:t>
            </w:r>
            <w:r>
              <w:rPr>
                <w:rFonts w:hint="eastAsia" w:ascii="宋体" w:hAnsi="宋体" w:eastAsia="宋体" w:cs="宋体"/>
                <w:spacing w:val="-6"/>
                <w:sz w:val="18"/>
                <w:szCs w:val="18"/>
              </w:rPr>
              <w:t>在截留、挤占、挪用、虚列支出等情况。</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全部符合5分，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有1项不符扣2分。</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项目产出（40分）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3722"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部门工作专项经费</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电子政务中心网络建设维护费</w:t>
            </w:r>
          </w:p>
        </w:tc>
        <w:tc>
          <w:tcPr>
            <w:tcW w:w="262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pacing w:val="-6"/>
                <w:sz w:val="18"/>
                <w:szCs w:val="18"/>
              </w:rPr>
            </w:pPr>
            <w:r>
              <w:rPr>
                <w:rFonts w:hint="eastAsia" w:ascii="宋体" w:hAnsi="宋体" w:eastAsia="宋体" w:cs="宋体"/>
                <w:sz w:val="18"/>
                <w:szCs w:val="18"/>
              </w:rPr>
              <w:t>1.若为定</w:t>
            </w:r>
            <w:r>
              <w:rPr>
                <w:rFonts w:hint="eastAsia" w:ascii="宋体" w:hAnsi="宋体" w:eastAsia="宋体" w:cs="宋体"/>
                <w:spacing w:val="-6"/>
                <w:sz w:val="18"/>
                <w:szCs w:val="18"/>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2.若为定量指标，完成值达到指标值，记满分；未达到指标值，按完成比率计分，正向指标（即指标值为≧*）得分=实际完成值/年初目标值*该</w:t>
            </w:r>
            <w:r>
              <w:rPr>
                <w:rFonts w:hint="eastAsia" w:ascii="宋体" w:hAnsi="宋体" w:eastAsia="宋体" w:cs="宋体"/>
                <w:spacing w:val="-6"/>
                <w:sz w:val="18"/>
                <w:szCs w:val="18"/>
              </w:rPr>
              <w:t>指标分值，反向指标（即指标值为≦*）得分=年初目标值/实际完成值*该指标分值。</w:t>
            </w: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项目自评，年度目标考核</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项目效益（20分）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372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1、部门工作专项经费</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2、电子政务中心网络建设维护费</w:t>
            </w:r>
          </w:p>
        </w:tc>
        <w:tc>
          <w:tcPr>
            <w:tcW w:w="262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p>
        </w:tc>
        <w:tc>
          <w:tcPr>
            <w:tcW w:w="1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项目自评，年度目标考核</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002"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备注：</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6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spacing w:line="300" w:lineRule="exact"/>
        <w:rPr>
          <w:rFonts w:ascii="宋体" w:hAnsi="宋体" w:cs="宋体"/>
          <w:sz w:val="18"/>
          <w:szCs w:val="18"/>
        </w:rPr>
        <w:sectPr>
          <w:pgSz w:w="16838" w:h="11906" w:orient="landscape"/>
          <w:pgMar w:top="1417" w:right="1134" w:bottom="1134" w:left="1134" w:header="851" w:footer="1531" w:gutter="0"/>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2020年机关运行经费年初预算为41.6元万元，上年结转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万元，调整预算数82.45万元，支出决算为82.45万元，完成预算的100%，预算与决算数持平。</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2020本部门政府采购支出总额支出0万元，其中政府采购货物类支出0万元、政府采购服务类支出0万元、政府采购工程类支出0万元。本部门无政府采购支出。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5辆；单价50万元以上的通用设备0台（套）；单价100万元以上的专用设备0台（套）。2020年当年购置车辆0辆；购置单价50万元以上的通用设备0台（套）；购置单价100万元以上的专用设备0台（套）。</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w:t>
      </w:r>
      <w:r>
        <w:rPr>
          <w:rFonts w:ascii="仿宋_GB2312" w:hAnsi="仿宋_GB2312" w:eastAsia="仿宋_GB2312" w:cs="仿宋_GB2312"/>
          <w:b/>
          <w:sz w:val="32"/>
          <w:szCs w:val="32"/>
        </w:rPr>
        <w:t>.</w:t>
      </w:r>
      <w:r>
        <w:rPr>
          <w:rFonts w:hint="eastAsia" w:ascii="仿宋" w:hAnsi="仿宋" w:eastAsia="仿宋"/>
          <w:b/>
          <w:color w:val="000000" w:themeColor="text1"/>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公用经费，包括办公及印刷费、邮电费、差旅费、会议费、福利费、日常维修费、专用材料及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p>
    <w:p>
      <w:pPr>
        <w:spacing w:line="560" w:lineRule="exact"/>
        <w:ind w:firstLine="5232" w:firstLineChars="1600"/>
        <w:rPr>
          <w:rFonts w:ascii="仿宋_GB2312" w:hAnsi="仿宋" w:eastAsia="仿宋_GB2312"/>
          <w:sz w:val="32"/>
          <w:szCs w:val="32"/>
        </w:rPr>
      </w:pPr>
    </w:p>
    <w:sectPr>
      <w:footerReference r:id="rId3" w:type="default"/>
      <w:footerReference r:id="rId4" w:type="even"/>
      <w:pgSz w:w="11906" w:h="16838"/>
      <w:pgMar w:top="1701" w:right="1304" w:bottom="1588" w:left="1701" w:header="851" w:footer="992" w:gutter="0"/>
      <w:cols w:space="425" w:num="1"/>
      <w:titlePg/>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1AE"/>
    <w:multiLevelType w:val="singleLevel"/>
    <w:tmpl w:val="3D1C21AE"/>
    <w:lvl w:ilvl="0" w:tentative="0">
      <w:start w:val="1"/>
      <w:numFmt w:val="chineseCounting"/>
      <w:suff w:val="nothing"/>
      <w:lvlText w:val="（%1）"/>
      <w:lvlJc w:val="left"/>
      <w:rPr>
        <w:rFonts w:hint="eastAsia"/>
      </w:rPr>
    </w:lvl>
  </w:abstractNum>
  <w:abstractNum w:abstractNumId="1">
    <w:nsid w:val="54091957"/>
    <w:multiLevelType w:val="singleLevel"/>
    <w:tmpl w:val="5409195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4E97"/>
    <w:rsid w:val="00000BD0"/>
    <w:rsid w:val="0002080D"/>
    <w:rsid w:val="000228DF"/>
    <w:rsid w:val="00023F48"/>
    <w:rsid w:val="00024B09"/>
    <w:rsid w:val="00025FD4"/>
    <w:rsid w:val="00027579"/>
    <w:rsid w:val="00030CBB"/>
    <w:rsid w:val="000336C2"/>
    <w:rsid w:val="00034AE4"/>
    <w:rsid w:val="00036AC8"/>
    <w:rsid w:val="00054C08"/>
    <w:rsid w:val="000559F1"/>
    <w:rsid w:val="0006186F"/>
    <w:rsid w:val="00061AD8"/>
    <w:rsid w:val="00063E6A"/>
    <w:rsid w:val="000674BA"/>
    <w:rsid w:val="00067850"/>
    <w:rsid w:val="00074DD5"/>
    <w:rsid w:val="0008705E"/>
    <w:rsid w:val="00093842"/>
    <w:rsid w:val="000A17FB"/>
    <w:rsid w:val="000B52F0"/>
    <w:rsid w:val="000C0707"/>
    <w:rsid w:val="000D29CC"/>
    <w:rsid w:val="000D50AC"/>
    <w:rsid w:val="000D5EEB"/>
    <w:rsid w:val="000F22CA"/>
    <w:rsid w:val="000F35D2"/>
    <w:rsid w:val="00100388"/>
    <w:rsid w:val="00102806"/>
    <w:rsid w:val="00107E3D"/>
    <w:rsid w:val="001126F1"/>
    <w:rsid w:val="001151A2"/>
    <w:rsid w:val="00117571"/>
    <w:rsid w:val="0012264B"/>
    <w:rsid w:val="00126A23"/>
    <w:rsid w:val="00126E14"/>
    <w:rsid w:val="001359C0"/>
    <w:rsid w:val="001500D0"/>
    <w:rsid w:val="00154015"/>
    <w:rsid w:val="00162F0F"/>
    <w:rsid w:val="001767DE"/>
    <w:rsid w:val="001813AB"/>
    <w:rsid w:val="001820C0"/>
    <w:rsid w:val="0018233A"/>
    <w:rsid w:val="00184C89"/>
    <w:rsid w:val="001A276A"/>
    <w:rsid w:val="001B2C49"/>
    <w:rsid w:val="001B3DD5"/>
    <w:rsid w:val="001B5205"/>
    <w:rsid w:val="001C31A9"/>
    <w:rsid w:val="001C3C41"/>
    <w:rsid w:val="001D0E09"/>
    <w:rsid w:val="001D316F"/>
    <w:rsid w:val="001D6218"/>
    <w:rsid w:val="001E6E10"/>
    <w:rsid w:val="001F3638"/>
    <w:rsid w:val="001F3A94"/>
    <w:rsid w:val="001F65C9"/>
    <w:rsid w:val="0020094D"/>
    <w:rsid w:val="002209F6"/>
    <w:rsid w:val="0022186F"/>
    <w:rsid w:val="00221BEC"/>
    <w:rsid w:val="0022686F"/>
    <w:rsid w:val="00226EE1"/>
    <w:rsid w:val="00227AF8"/>
    <w:rsid w:val="00232EF5"/>
    <w:rsid w:val="00237BB7"/>
    <w:rsid w:val="0024052B"/>
    <w:rsid w:val="002514A9"/>
    <w:rsid w:val="00251A51"/>
    <w:rsid w:val="00253F64"/>
    <w:rsid w:val="00256A74"/>
    <w:rsid w:val="0026750B"/>
    <w:rsid w:val="00271D3F"/>
    <w:rsid w:val="00273DF6"/>
    <w:rsid w:val="00273E98"/>
    <w:rsid w:val="002751C6"/>
    <w:rsid w:val="002947C7"/>
    <w:rsid w:val="00295968"/>
    <w:rsid w:val="002967BF"/>
    <w:rsid w:val="002A097C"/>
    <w:rsid w:val="002A165E"/>
    <w:rsid w:val="002A69E7"/>
    <w:rsid w:val="002A69F5"/>
    <w:rsid w:val="002B3DC0"/>
    <w:rsid w:val="002B7290"/>
    <w:rsid w:val="002C6BEC"/>
    <w:rsid w:val="002C7585"/>
    <w:rsid w:val="002D0A85"/>
    <w:rsid w:val="002D2747"/>
    <w:rsid w:val="002D2F6D"/>
    <w:rsid w:val="002E256E"/>
    <w:rsid w:val="002E3BEB"/>
    <w:rsid w:val="002E6A7D"/>
    <w:rsid w:val="002E6E7A"/>
    <w:rsid w:val="002F06FD"/>
    <w:rsid w:val="002F0949"/>
    <w:rsid w:val="002F4903"/>
    <w:rsid w:val="00312BEE"/>
    <w:rsid w:val="00313A0C"/>
    <w:rsid w:val="00315004"/>
    <w:rsid w:val="003247AC"/>
    <w:rsid w:val="00330B52"/>
    <w:rsid w:val="0033144D"/>
    <w:rsid w:val="00334F2F"/>
    <w:rsid w:val="00342474"/>
    <w:rsid w:val="00343328"/>
    <w:rsid w:val="003476C4"/>
    <w:rsid w:val="00352D5F"/>
    <w:rsid w:val="003654B0"/>
    <w:rsid w:val="00365DBF"/>
    <w:rsid w:val="00375A33"/>
    <w:rsid w:val="0038673E"/>
    <w:rsid w:val="0038797A"/>
    <w:rsid w:val="00393299"/>
    <w:rsid w:val="003A063F"/>
    <w:rsid w:val="003A173A"/>
    <w:rsid w:val="003A20E1"/>
    <w:rsid w:val="003A4BA2"/>
    <w:rsid w:val="003A78DC"/>
    <w:rsid w:val="003B1547"/>
    <w:rsid w:val="003B1DD5"/>
    <w:rsid w:val="003B30D7"/>
    <w:rsid w:val="003C1355"/>
    <w:rsid w:val="003C6710"/>
    <w:rsid w:val="003D2E4E"/>
    <w:rsid w:val="003D5579"/>
    <w:rsid w:val="003F015D"/>
    <w:rsid w:val="003F3314"/>
    <w:rsid w:val="003F5767"/>
    <w:rsid w:val="00404F3E"/>
    <w:rsid w:val="00405AF7"/>
    <w:rsid w:val="004111B5"/>
    <w:rsid w:val="0041572E"/>
    <w:rsid w:val="00416F02"/>
    <w:rsid w:val="004203B3"/>
    <w:rsid w:val="00433BE2"/>
    <w:rsid w:val="004341B6"/>
    <w:rsid w:val="0044215B"/>
    <w:rsid w:val="00444233"/>
    <w:rsid w:val="00457F22"/>
    <w:rsid w:val="00466E87"/>
    <w:rsid w:val="00474C12"/>
    <w:rsid w:val="0048638B"/>
    <w:rsid w:val="00490E19"/>
    <w:rsid w:val="00490EF8"/>
    <w:rsid w:val="0049195F"/>
    <w:rsid w:val="004A0963"/>
    <w:rsid w:val="004A30E9"/>
    <w:rsid w:val="004A6AB9"/>
    <w:rsid w:val="004C12E2"/>
    <w:rsid w:val="004C3F3E"/>
    <w:rsid w:val="004C445F"/>
    <w:rsid w:val="004C4C11"/>
    <w:rsid w:val="004C78D4"/>
    <w:rsid w:val="004D50CB"/>
    <w:rsid w:val="004D58C2"/>
    <w:rsid w:val="004D7CFF"/>
    <w:rsid w:val="004E3ED5"/>
    <w:rsid w:val="004E5E2D"/>
    <w:rsid w:val="004E7CB9"/>
    <w:rsid w:val="004F27F3"/>
    <w:rsid w:val="004F5264"/>
    <w:rsid w:val="004F52B8"/>
    <w:rsid w:val="004F5C44"/>
    <w:rsid w:val="005019F8"/>
    <w:rsid w:val="00504C7F"/>
    <w:rsid w:val="00507388"/>
    <w:rsid w:val="005126D5"/>
    <w:rsid w:val="00516DD5"/>
    <w:rsid w:val="00524785"/>
    <w:rsid w:val="0052483F"/>
    <w:rsid w:val="00527F16"/>
    <w:rsid w:val="0053057C"/>
    <w:rsid w:val="00534AB3"/>
    <w:rsid w:val="00536FEF"/>
    <w:rsid w:val="00542ED0"/>
    <w:rsid w:val="0054763A"/>
    <w:rsid w:val="00555792"/>
    <w:rsid w:val="00562F04"/>
    <w:rsid w:val="00565C66"/>
    <w:rsid w:val="0057134E"/>
    <w:rsid w:val="005746CB"/>
    <w:rsid w:val="005800DD"/>
    <w:rsid w:val="005845EC"/>
    <w:rsid w:val="00585E57"/>
    <w:rsid w:val="00591BDE"/>
    <w:rsid w:val="00591FFA"/>
    <w:rsid w:val="005A17DE"/>
    <w:rsid w:val="005A5F4C"/>
    <w:rsid w:val="005A6868"/>
    <w:rsid w:val="005B0CDF"/>
    <w:rsid w:val="005B2AEB"/>
    <w:rsid w:val="005B3686"/>
    <w:rsid w:val="005B384C"/>
    <w:rsid w:val="005D2135"/>
    <w:rsid w:val="005D2700"/>
    <w:rsid w:val="005D321C"/>
    <w:rsid w:val="005D3EDF"/>
    <w:rsid w:val="005D61FD"/>
    <w:rsid w:val="005D6639"/>
    <w:rsid w:val="005D6E0A"/>
    <w:rsid w:val="005D6E47"/>
    <w:rsid w:val="005D6EF9"/>
    <w:rsid w:val="005D744F"/>
    <w:rsid w:val="005F1518"/>
    <w:rsid w:val="005F3956"/>
    <w:rsid w:val="005F5D92"/>
    <w:rsid w:val="00605EFA"/>
    <w:rsid w:val="00607885"/>
    <w:rsid w:val="00615E0F"/>
    <w:rsid w:val="0063061E"/>
    <w:rsid w:val="00636D23"/>
    <w:rsid w:val="00660DC0"/>
    <w:rsid w:val="00664C39"/>
    <w:rsid w:val="00670144"/>
    <w:rsid w:val="00683943"/>
    <w:rsid w:val="0068425C"/>
    <w:rsid w:val="0069219B"/>
    <w:rsid w:val="0069390C"/>
    <w:rsid w:val="00693C8E"/>
    <w:rsid w:val="006950A1"/>
    <w:rsid w:val="006952BF"/>
    <w:rsid w:val="006A0B21"/>
    <w:rsid w:val="006A4242"/>
    <w:rsid w:val="006A4A32"/>
    <w:rsid w:val="006A7645"/>
    <w:rsid w:val="006B1AC3"/>
    <w:rsid w:val="006C514C"/>
    <w:rsid w:val="006D3803"/>
    <w:rsid w:val="006D475B"/>
    <w:rsid w:val="006D6002"/>
    <w:rsid w:val="006E771F"/>
    <w:rsid w:val="006E7B72"/>
    <w:rsid w:val="007011C1"/>
    <w:rsid w:val="007012E6"/>
    <w:rsid w:val="00707AA5"/>
    <w:rsid w:val="007107FE"/>
    <w:rsid w:val="00710F97"/>
    <w:rsid w:val="00714FCE"/>
    <w:rsid w:val="00715A12"/>
    <w:rsid w:val="00722D6E"/>
    <w:rsid w:val="00732C3E"/>
    <w:rsid w:val="007351DE"/>
    <w:rsid w:val="00741F8F"/>
    <w:rsid w:val="00744496"/>
    <w:rsid w:val="00747D64"/>
    <w:rsid w:val="007609A9"/>
    <w:rsid w:val="00764A20"/>
    <w:rsid w:val="00766C4F"/>
    <w:rsid w:val="0076709D"/>
    <w:rsid w:val="00767B18"/>
    <w:rsid w:val="00792930"/>
    <w:rsid w:val="007B1461"/>
    <w:rsid w:val="007B6C6A"/>
    <w:rsid w:val="007C3614"/>
    <w:rsid w:val="007C397F"/>
    <w:rsid w:val="007C7969"/>
    <w:rsid w:val="007D183A"/>
    <w:rsid w:val="007D1DC0"/>
    <w:rsid w:val="007D410E"/>
    <w:rsid w:val="007D5150"/>
    <w:rsid w:val="007E195E"/>
    <w:rsid w:val="007E3FDF"/>
    <w:rsid w:val="007F097A"/>
    <w:rsid w:val="007F470B"/>
    <w:rsid w:val="007F4D6E"/>
    <w:rsid w:val="008017AF"/>
    <w:rsid w:val="00803374"/>
    <w:rsid w:val="00810946"/>
    <w:rsid w:val="0082383B"/>
    <w:rsid w:val="008255F1"/>
    <w:rsid w:val="00825644"/>
    <w:rsid w:val="008257BB"/>
    <w:rsid w:val="00840D00"/>
    <w:rsid w:val="00843885"/>
    <w:rsid w:val="00845E0D"/>
    <w:rsid w:val="008474BC"/>
    <w:rsid w:val="00850A2D"/>
    <w:rsid w:val="0085427C"/>
    <w:rsid w:val="0085498C"/>
    <w:rsid w:val="00857E56"/>
    <w:rsid w:val="0086356E"/>
    <w:rsid w:val="0088037C"/>
    <w:rsid w:val="008811F0"/>
    <w:rsid w:val="008850DE"/>
    <w:rsid w:val="00885FB1"/>
    <w:rsid w:val="00890EA8"/>
    <w:rsid w:val="0089405A"/>
    <w:rsid w:val="008953B5"/>
    <w:rsid w:val="00895DB1"/>
    <w:rsid w:val="008972FF"/>
    <w:rsid w:val="008A218F"/>
    <w:rsid w:val="008A312E"/>
    <w:rsid w:val="008A569C"/>
    <w:rsid w:val="008A6A0B"/>
    <w:rsid w:val="008B0583"/>
    <w:rsid w:val="008B07AD"/>
    <w:rsid w:val="008B3515"/>
    <w:rsid w:val="008C2263"/>
    <w:rsid w:val="008C397D"/>
    <w:rsid w:val="008C4E97"/>
    <w:rsid w:val="008C4F38"/>
    <w:rsid w:val="008D06F6"/>
    <w:rsid w:val="008D45D6"/>
    <w:rsid w:val="008E2201"/>
    <w:rsid w:val="008E5E14"/>
    <w:rsid w:val="00905E53"/>
    <w:rsid w:val="009065F7"/>
    <w:rsid w:val="0091163B"/>
    <w:rsid w:val="00913141"/>
    <w:rsid w:val="00913940"/>
    <w:rsid w:val="009147D4"/>
    <w:rsid w:val="0092083B"/>
    <w:rsid w:val="0092334D"/>
    <w:rsid w:val="0092773E"/>
    <w:rsid w:val="00931E60"/>
    <w:rsid w:val="009357D5"/>
    <w:rsid w:val="00943BDA"/>
    <w:rsid w:val="00951A2E"/>
    <w:rsid w:val="00955367"/>
    <w:rsid w:val="00957936"/>
    <w:rsid w:val="00963AAC"/>
    <w:rsid w:val="00966EAF"/>
    <w:rsid w:val="009700D1"/>
    <w:rsid w:val="00970D79"/>
    <w:rsid w:val="00972977"/>
    <w:rsid w:val="00976D60"/>
    <w:rsid w:val="009826BC"/>
    <w:rsid w:val="00990BF1"/>
    <w:rsid w:val="009923F6"/>
    <w:rsid w:val="00994AE5"/>
    <w:rsid w:val="0099716C"/>
    <w:rsid w:val="009A0156"/>
    <w:rsid w:val="009A130C"/>
    <w:rsid w:val="009A1FEE"/>
    <w:rsid w:val="009A4B1A"/>
    <w:rsid w:val="009B0796"/>
    <w:rsid w:val="009B2758"/>
    <w:rsid w:val="009B4121"/>
    <w:rsid w:val="009B57C3"/>
    <w:rsid w:val="009C4D79"/>
    <w:rsid w:val="009E5FE6"/>
    <w:rsid w:val="009F0187"/>
    <w:rsid w:val="009F646C"/>
    <w:rsid w:val="009F66CA"/>
    <w:rsid w:val="009F6B6F"/>
    <w:rsid w:val="00A021AF"/>
    <w:rsid w:val="00A0524E"/>
    <w:rsid w:val="00A064E2"/>
    <w:rsid w:val="00A12695"/>
    <w:rsid w:val="00A13088"/>
    <w:rsid w:val="00A2280A"/>
    <w:rsid w:val="00A27298"/>
    <w:rsid w:val="00A272C7"/>
    <w:rsid w:val="00A319C3"/>
    <w:rsid w:val="00A32AB0"/>
    <w:rsid w:val="00A32F0C"/>
    <w:rsid w:val="00A3405E"/>
    <w:rsid w:val="00A36A27"/>
    <w:rsid w:val="00A441C6"/>
    <w:rsid w:val="00A53E0E"/>
    <w:rsid w:val="00A5580B"/>
    <w:rsid w:val="00A5649B"/>
    <w:rsid w:val="00A56D96"/>
    <w:rsid w:val="00A630E3"/>
    <w:rsid w:val="00A714F9"/>
    <w:rsid w:val="00A77F1D"/>
    <w:rsid w:val="00A77F7D"/>
    <w:rsid w:val="00A80576"/>
    <w:rsid w:val="00A81028"/>
    <w:rsid w:val="00AA7C46"/>
    <w:rsid w:val="00AB3010"/>
    <w:rsid w:val="00AB51EA"/>
    <w:rsid w:val="00AB5DE7"/>
    <w:rsid w:val="00AB7784"/>
    <w:rsid w:val="00AC4F85"/>
    <w:rsid w:val="00AC7344"/>
    <w:rsid w:val="00AE2A0E"/>
    <w:rsid w:val="00AE6FAF"/>
    <w:rsid w:val="00AF28E9"/>
    <w:rsid w:val="00AF3FD4"/>
    <w:rsid w:val="00AF53AC"/>
    <w:rsid w:val="00AF5BFD"/>
    <w:rsid w:val="00B00533"/>
    <w:rsid w:val="00B028E7"/>
    <w:rsid w:val="00B04156"/>
    <w:rsid w:val="00B07128"/>
    <w:rsid w:val="00B07DB1"/>
    <w:rsid w:val="00B10202"/>
    <w:rsid w:val="00B14D9D"/>
    <w:rsid w:val="00B16261"/>
    <w:rsid w:val="00B32677"/>
    <w:rsid w:val="00B336AB"/>
    <w:rsid w:val="00B37E15"/>
    <w:rsid w:val="00B415C7"/>
    <w:rsid w:val="00B45C36"/>
    <w:rsid w:val="00B51118"/>
    <w:rsid w:val="00B52B14"/>
    <w:rsid w:val="00B54664"/>
    <w:rsid w:val="00B56C33"/>
    <w:rsid w:val="00B60785"/>
    <w:rsid w:val="00B758C7"/>
    <w:rsid w:val="00B762AE"/>
    <w:rsid w:val="00B803E7"/>
    <w:rsid w:val="00B81E1D"/>
    <w:rsid w:val="00B9213D"/>
    <w:rsid w:val="00B96EBD"/>
    <w:rsid w:val="00BA186D"/>
    <w:rsid w:val="00BA2567"/>
    <w:rsid w:val="00BA7D62"/>
    <w:rsid w:val="00BC3070"/>
    <w:rsid w:val="00BC7F89"/>
    <w:rsid w:val="00BD0E7E"/>
    <w:rsid w:val="00BD74A9"/>
    <w:rsid w:val="00BE094E"/>
    <w:rsid w:val="00BE12D3"/>
    <w:rsid w:val="00BE1E04"/>
    <w:rsid w:val="00BF131B"/>
    <w:rsid w:val="00BF7D13"/>
    <w:rsid w:val="00C02B6C"/>
    <w:rsid w:val="00C0449E"/>
    <w:rsid w:val="00C12DCF"/>
    <w:rsid w:val="00C13CF4"/>
    <w:rsid w:val="00C23613"/>
    <w:rsid w:val="00C237F5"/>
    <w:rsid w:val="00C30B3C"/>
    <w:rsid w:val="00C34282"/>
    <w:rsid w:val="00C36E71"/>
    <w:rsid w:val="00C42852"/>
    <w:rsid w:val="00C4346A"/>
    <w:rsid w:val="00C47C6E"/>
    <w:rsid w:val="00C52266"/>
    <w:rsid w:val="00C53208"/>
    <w:rsid w:val="00C548BA"/>
    <w:rsid w:val="00C7181D"/>
    <w:rsid w:val="00C71C07"/>
    <w:rsid w:val="00C747E5"/>
    <w:rsid w:val="00C749F6"/>
    <w:rsid w:val="00C7513A"/>
    <w:rsid w:val="00C9415E"/>
    <w:rsid w:val="00C97B62"/>
    <w:rsid w:val="00CB01D8"/>
    <w:rsid w:val="00CB3F25"/>
    <w:rsid w:val="00CB6B9F"/>
    <w:rsid w:val="00CC265B"/>
    <w:rsid w:val="00CC3994"/>
    <w:rsid w:val="00CC7269"/>
    <w:rsid w:val="00CD43A2"/>
    <w:rsid w:val="00CE05F8"/>
    <w:rsid w:val="00CE1E6B"/>
    <w:rsid w:val="00CE2168"/>
    <w:rsid w:val="00CF17BF"/>
    <w:rsid w:val="00D035ED"/>
    <w:rsid w:val="00D04AAD"/>
    <w:rsid w:val="00D051A6"/>
    <w:rsid w:val="00D053AA"/>
    <w:rsid w:val="00D14675"/>
    <w:rsid w:val="00D15E09"/>
    <w:rsid w:val="00D33973"/>
    <w:rsid w:val="00D348D0"/>
    <w:rsid w:val="00D40282"/>
    <w:rsid w:val="00D56CD8"/>
    <w:rsid w:val="00D5726E"/>
    <w:rsid w:val="00D64482"/>
    <w:rsid w:val="00D827DA"/>
    <w:rsid w:val="00D91BF0"/>
    <w:rsid w:val="00D9495C"/>
    <w:rsid w:val="00DA1900"/>
    <w:rsid w:val="00DA25C6"/>
    <w:rsid w:val="00DA475D"/>
    <w:rsid w:val="00DA780C"/>
    <w:rsid w:val="00DC297C"/>
    <w:rsid w:val="00DC3D4E"/>
    <w:rsid w:val="00DC5070"/>
    <w:rsid w:val="00DD1EDC"/>
    <w:rsid w:val="00DD4786"/>
    <w:rsid w:val="00DD637C"/>
    <w:rsid w:val="00DE20B5"/>
    <w:rsid w:val="00DF0B51"/>
    <w:rsid w:val="00DF134D"/>
    <w:rsid w:val="00DF1D0D"/>
    <w:rsid w:val="00DF57AC"/>
    <w:rsid w:val="00E0097D"/>
    <w:rsid w:val="00E0241D"/>
    <w:rsid w:val="00E03F77"/>
    <w:rsid w:val="00E0439F"/>
    <w:rsid w:val="00E04488"/>
    <w:rsid w:val="00E057BF"/>
    <w:rsid w:val="00E11368"/>
    <w:rsid w:val="00E15326"/>
    <w:rsid w:val="00E15EFC"/>
    <w:rsid w:val="00E17EBD"/>
    <w:rsid w:val="00E24794"/>
    <w:rsid w:val="00E31DFC"/>
    <w:rsid w:val="00E34FED"/>
    <w:rsid w:val="00E42FE1"/>
    <w:rsid w:val="00E52079"/>
    <w:rsid w:val="00E53B07"/>
    <w:rsid w:val="00E560B8"/>
    <w:rsid w:val="00E62F29"/>
    <w:rsid w:val="00E70B16"/>
    <w:rsid w:val="00E75139"/>
    <w:rsid w:val="00E80BF0"/>
    <w:rsid w:val="00E9390C"/>
    <w:rsid w:val="00EA1E47"/>
    <w:rsid w:val="00EA486E"/>
    <w:rsid w:val="00EB7557"/>
    <w:rsid w:val="00EB7CFB"/>
    <w:rsid w:val="00EC5347"/>
    <w:rsid w:val="00ED1DDC"/>
    <w:rsid w:val="00ED359C"/>
    <w:rsid w:val="00EE3D0C"/>
    <w:rsid w:val="00EE6B9B"/>
    <w:rsid w:val="00EF20DA"/>
    <w:rsid w:val="00EF54AB"/>
    <w:rsid w:val="00EF5B33"/>
    <w:rsid w:val="00F0404B"/>
    <w:rsid w:val="00F1379D"/>
    <w:rsid w:val="00F17D1C"/>
    <w:rsid w:val="00F20637"/>
    <w:rsid w:val="00F23C9E"/>
    <w:rsid w:val="00F24099"/>
    <w:rsid w:val="00F40C39"/>
    <w:rsid w:val="00F4129E"/>
    <w:rsid w:val="00F469BE"/>
    <w:rsid w:val="00F53CA7"/>
    <w:rsid w:val="00F609A5"/>
    <w:rsid w:val="00F678EC"/>
    <w:rsid w:val="00F82E1D"/>
    <w:rsid w:val="00F94567"/>
    <w:rsid w:val="00F95B49"/>
    <w:rsid w:val="00F969F5"/>
    <w:rsid w:val="00FA7CE1"/>
    <w:rsid w:val="00FB026B"/>
    <w:rsid w:val="00FC1F72"/>
    <w:rsid w:val="00FC2808"/>
    <w:rsid w:val="00FC2DB4"/>
    <w:rsid w:val="00FC406C"/>
    <w:rsid w:val="00FC4849"/>
    <w:rsid w:val="00FC7B39"/>
    <w:rsid w:val="00FF1160"/>
    <w:rsid w:val="00FF39DA"/>
    <w:rsid w:val="00FF6660"/>
    <w:rsid w:val="2A7E7FE7"/>
    <w:rsid w:val="64424CF2"/>
    <w:rsid w:val="65D3156B"/>
    <w:rsid w:val="6D3B10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b/>
      <w:bCs/>
      <w:sz w:val="3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paragraph" w:customStyle="1" w:styleId="12">
    <w:name w:val="Char"/>
    <w:basedOn w:val="1"/>
    <w:next w:val="1"/>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13">
    <w:name w:val="默认段落字体 Para Char Char Char Char Char Char Char"/>
    <w:basedOn w:val="1"/>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D17E0-50C5-49B3-A36A-44ABD5D08CC6}">
  <ds:schemaRefs/>
</ds:datastoreItem>
</file>

<file path=docProps/app.xml><?xml version="1.0" encoding="utf-8"?>
<Properties xmlns="http://schemas.openxmlformats.org/officeDocument/2006/extended-properties" xmlns:vt="http://schemas.openxmlformats.org/officeDocument/2006/docPropsVTypes">
  <Template>Normal</Template>
  <Pages>28</Pages>
  <Words>2267</Words>
  <Characters>12928</Characters>
  <Lines>107</Lines>
  <Paragraphs>30</Paragraphs>
  <TotalTime>0</TotalTime>
  <ScaleCrop>false</ScaleCrop>
  <LinksUpToDate>false</LinksUpToDate>
  <CharactersWithSpaces>15165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2021-09-17T07:59:00Z</dcterms:created>
  <dc:creator>gkk</dc:creator>
  <cp:lastModifiedBy>九步皆爱</cp:lastModifiedBy>
  <cp:lastPrinted>2021-09-10T01:45:00Z</cp:lastPrinted>
  <dcterms:modified xsi:type="dcterms:W3CDTF">2021-09-26T02:15:36Z</dcterms:modified>
  <dc:title>商财办库〔2013〕10号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