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60"/>
          <w:szCs w:val="60"/>
        </w:rPr>
      </w:pP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60"/>
          <w:szCs w:val="60"/>
        </w:rPr>
      </w:pP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镇安县交通运输局</w:t>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2020年部门决算</w:t>
      </w:r>
    </w:p>
    <w:p>
      <w:pPr>
        <w:keepNext w:val="0"/>
        <w:keepLines w:val="0"/>
        <w:pageBreakBefore w:val="0"/>
        <w:kinsoku/>
        <w:wordWrap/>
        <w:overflowPunct/>
        <w:topLinePunct w:val="0"/>
        <w:autoSpaceDE/>
        <w:autoSpaceDN/>
        <w:bidi w:val="0"/>
        <w:adjustRightInd/>
        <w:spacing w:line="240" w:lineRule="auto"/>
        <w:ind w:left="0" w:leftChars="0" w:right="0"/>
        <w:textAlignment w:val="auto"/>
      </w:pPr>
    </w:p>
    <w:p>
      <w:pPr>
        <w:keepNext w:val="0"/>
        <w:keepLines w:val="0"/>
        <w:pageBreakBefore w:val="0"/>
        <w:kinsoku/>
        <w:wordWrap/>
        <w:overflowPunct/>
        <w:topLinePunct w:val="0"/>
        <w:autoSpaceDE/>
        <w:autoSpaceDN/>
        <w:bidi w:val="0"/>
        <w:adjustRightInd/>
        <w:spacing w:line="240" w:lineRule="auto"/>
        <w:ind w:left="0" w:leftChars="0" w:right="0"/>
        <w:textAlignment w:val="auto"/>
      </w:pPr>
    </w:p>
    <w:p>
      <w:pPr>
        <w:keepNext w:val="0"/>
        <w:keepLines w:val="0"/>
        <w:pageBreakBefore w:val="0"/>
        <w:kinsoku/>
        <w:wordWrap/>
        <w:overflowPunct/>
        <w:topLinePunct w:val="0"/>
        <w:autoSpaceDE/>
        <w:autoSpaceDN/>
        <w:bidi w:val="0"/>
        <w:adjustRightInd/>
        <w:spacing w:line="240" w:lineRule="auto"/>
        <w:ind w:left="0" w:leftChars="0" w:right="0"/>
        <w:textAlignment w:val="auto"/>
      </w:pPr>
    </w:p>
    <w:p>
      <w:pPr>
        <w:keepNext w:val="0"/>
        <w:keepLines w:val="0"/>
        <w:pageBreakBefore w:val="0"/>
        <w:kinsoku/>
        <w:wordWrap/>
        <w:overflowPunct/>
        <w:topLinePunct w:val="0"/>
        <w:autoSpaceDE/>
        <w:autoSpaceDN/>
        <w:bidi w:val="0"/>
        <w:adjustRightInd/>
        <w:spacing w:line="240" w:lineRule="auto"/>
        <w:ind w:left="0" w:leftChars="0" w:right="0"/>
        <w:textAlignment w:val="auto"/>
      </w:pPr>
    </w:p>
    <w:p>
      <w:pPr>
        <w:keepNext w:val="0"/>
        <w:keepLines w:val="0"/>
        <w:pageBreakBefore w:val="0"/>
        <w:kinsoku/>
        <w:wordWrap/>
        <w:overflowPunct/>
        <w:topLinePunct w:val="0"/>
        <w:autoSpaceDE/>
        <w:autoSpaceDN/>
        <w:bidi w:val="0"/>
        <w:adjustRightInd/>
        <w:spacing w:line="240" w:lineRule="auto"/>
        <w:ind w:left="0" w:leftChars="0" w:right="0"/>
        <w:textAlignment w:val="auto"/>
      </w:pPr>
    </w:p>
    <w:p>
      <w:pPr>
        <w:keepNext w:val="0"/>
        <w:keepLines w:val="0"/>
        <w:pageBreakBefore w:val="0"/>
        <w:kinsoku/>
        <w:wordWrap/>
        <w:overflowPunct/>
        <w:topLinePunct w:val="0"/>
        <w:autoSpaceDE/>
        <w:autoSpaceDN/>
        <w:bidi w:val="0"/>
        <w:adjustRightInd/>
        <w:spacing w:line="240" w:lineRule="auto"/>
        <w:ind w:left="0" w:leftChars="0" w:right="0"/>
        <w:textAlignment w:val="auto"/>
      </w:pPr>
    </w:p>
    <w:p>
      <w:pPr>
        <w:keepNext w:val="0"/>
        <w:keepLines w:val="0"/>
        <w:pageBreakBefore w:val="0"/>
        <w:kinsoku/>
        <w:wordWrap/>
        <w:overflowPunct/>
        <w:topLinePunct w:val="0"/>
        <w:autoSpaceDE/>
        <w:autoSpaceDN/>
        <w:bidi w:val="0"/>
        <w:adjustRightInd/>
        <w:spacing w:line="240" w:lineRule="auto"/>
        <w:ind w:left="0" w:leftChars="0" w:right="0"/>
        <w:textAlignment w:val="auto"/>
      </w:pPr>
    </w:p>
    <w:p>
      <w:pPr>
        <w:keepNext w:val="0"/>
        <w:keepLines w:val="0"/>
        <w:pageBreakBefore w:val="0"/>
        <w:kinsoku/>
        <w:wordWrap/>
        <w:overflowPunct/>
        <w:topLinePunct w:val="0"/>
        <w:autoSpaceDE/>
        <w:autoSpaceDN/>
        <w:bidi w:val="0"/>
        <w:adjustRightInd/>
        <w:spacing w:line="240" w:lineRule="auto"/>
        <w:ind w:left="0" w:leftChars="0" w:right="0"/>
        <w:textAlignment w:val="auto"/>
      </w:pPr>
    </w:p>
    <w:p>
      <w:pPr>
        <w:keepNext w:val="0"/>
        <w:keepLines w:val="0"/>
        <w:pageBreakBefore w:val="0"/>
        <w:kinsoku/>
        <w:wordWrap/>
        <w:overflowPunct/>
        <w:topLinePunct w:val="0"/>
        <w:autoSpaceDE/>
        <w:autoSpaceDN/>
        <w:bidi w:val="0"/>
        <w:adjustRightInd/>
        <w:spacing w:line="240" w:lineRule="auto"/>
        <w:ind w:left="0" w:leftChars="0" w:right="0"/>
        <w:textAlignment w:val="auto"/>
      </w:pPr>
    </w:p>
    <w:p>
      <w:pPr>
        <w:keepNext w:val="0"/>
        <w:keepLines w:val="0"/>
        <w:pageBreakBefore w:val="0"/>
        <w:kinsoku/>
        <w:wordWrap/>
        <w:overflowPunct/>
        <w:topLinePunct w:val="0"/>
        <w:autoSpaceDE/>
        <w:autoSpaceDN/>
        <w:bidi w:val="0"/>
        <w:adjustRightInd/>
        <w:spacing w:line="240" w:lineRule="auto"/>
        <w:ind w:left="0" w:leftChars="0" w:right="0"/>
        <w:jc w:val="left"/>
        <w:textAlignment w:val="auto"/>
      </w:pPr>
    </w:p>
    <w:p>
      <w:pPr>
        <w:keepNext w:val="0"/>
        <w:keepLines w:val="0"/>
        <w:pageBreakBefore w:val="0"/>
        <w:kinsoku/>
        <w:wordWrap/>
        <w:overflowPunct/>
        <w:topLinePunct w:val="0"/>
        <w:autoSpaceDE/>
        <w:autoSpaceDN/>
        <w:bidi w:val="0"/>
        <w:adjustRightInd/>
        <w:spacing w:line="240" w:lineRule="auto"/>
        <w:ind w:left="0" w:leftChars="0" w:right="0"/>
        <w:jc w:val="left"/>
        <w:textAlignment w:val="auto"/>
      </w:pPr>
    </w:p>
    <w:p>
      <w:pPr>
        <w:keepNext w:val="0"/>
        <w:keepLines w:val="0"/>
        <w:pageBreakBefore w:val="0"/>
        <w:kinsoku/>
        <w:wordWrap/>
        <w:overflowPunct/>
        <w:topLinePunct w:val="0"/>
        <w:autoSpaceDE/>
        <w:autoSpaceDN/>
        <w:bidi w:val="0"/>
        <w:adjustRightInd/>
        <w:spacing w:line="240" w:lineRule="auto"/>
        <w:ind w:left="0" w:leftChars="0" w:right="0" w:firstLine="2212" w:firstLineChars="700"/>
        <w:jc w:val="left"/>
        <w:textAlignment w:val="auto"/>
        <w:rPr>
          <w:rFonts w:hint="eastAsia" w:ascii="黑体" w:hAnsi="黑体" w:eastAsia="黑体" w:cs="黑体"/>
        </w:rPr>
      </w:pPr>
      <w:r>
        <w:rPr>
          <w:rFonts w:hint="eastAsia" w:ascii="黑体" w:hAnsi="黑体" w:eastAsia="黑体" w:cs="黑体"/>
        </w:rPr>
        <w:t>保密审查情况：已审查</w:t>
      </w:r>
    </w:p>
    <w:p>
      <w:pPr>
        <w:keepNext w:val="0"/>
        <w:keepLines w:val="0"/>
        <w:pageBreakBefore w:val="0"/>
        <w:kinsoku/>
        <w:wordWrap/>
        <w:overflowPunct/>
        <w:topLinePunct w:val="0"/>
        <w:autoSpaceDE/>
        <w:autoSpaceDN/>
        <w:bidi w:val="0"/>
        <w:adjustRightInd/>
        <w:spacing w:line="240" w:lineRule="auto"/>
        <w:ind w:left="0" w:leftChars="0" w:right="0" w:firstLine="2212" w:firstLineChars="700"/>
        <w:jc w:val="left"/>
        <w:textAlignment w:val="auto"/>
        <w:rPr>
          <w:rFonts w:hint="eastAsia" w:ascii="黑体" w:hAnsi="黑体" w:eastAsia="黑体" w:cs="黑体"/>
        </w:rPr>
      </w:pPr>
      <w:r>
        <w:rPr>
          <w:rFonts w:hint="eastAsia" w:ascii="黑体" w:hAnsi="黑体" w:eastAsia="黑体" w:cs="黑体"/>
        </w:rPr>
        <w:t>部门负责人审签情况：已审签</w:t>
      </w:r>
    </w:p>
    <w:p>
      <w:pPr>
        <w:keepNext w:val="0"/>
        <w:keepLines w:val="0"/>
        <w:pageBreakBefore w:val="0"/>
        <w:kinsoku/>
        <w:wordWrap/>
        <w:overflowPunct/>
        <w:topLinePunct w:val="0"/>
        <w:autoSpaceDE/>
        <w:autoSpaceDN/>
        <w:bidi w:val="0"/>
        <w:adjustRightInd/>
        <w:spacing w:line="240" w:lineRule="auto"/>
        <w:ind w:left="0" w:leftChars="0" w:right="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kinsoku/>
        <w:wordWrap/>
        <w:overflowPunct/>
        <w:topLinePunct w:val="0"/>
        <w:autoSpaceDE/>
        <w:autoSpaceDN/>
        <w:bidi w:val="0"/>
        <w:adjustRightInd/>
        <w:spacing w:line="240" w:lineRule="auto"/>
        <w:ind w:left="4352" w:leftChars="0" w:right="0" w:hanging="4352" w:hangingChars="998"/>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bookmarkStart w:id="0" w:name="_GoBack"/>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bookmarkEnd w:id="0"/>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第一部分  部门概况</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黑体" w:hAnsi="黑体" w:eastAsia="黑体" w:cs="黑体"/>
        </w:rPr>
      </w:pPr>
      <w:r>
        <w:rPr>
          <w:rFonts w:hint="eastAsia" w:ascii="黑体" w:hAnsi="黑体" w:eastAsia="黑体" w:cs="黑体"/>
        </w:rPr>
        <w:t>一、部门主要职责及内设机构</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华文楷体" w:hAnsi="华文楷体" w:eastAsia="华文楷体" w:cs="楷体_GB2312"/>
          <w:bCs/>
        </w:rPr>
      </w:pPr>
      <w:r>
        <w:rPr>
          <w:rFonts w:hint="eastAsia" w:ascii="华文楷体" w:hAnsi="华文楷体" w:eastAsia="华文楷体" w:cs="楷体_GB2312"/>
          <w:bCs/>
        </w:rPr>
        <w:t>（一）主要职责</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jc w:val="left"/>
        <w:textAlignment w:val="auto"/>
        <w:rPr>
          <w:rFonts w:ascii="宋体" w:hAnsi="宋体" w:cs="宋体"/>
          <w:color w:val="353535"/>
        </w:rPr>
      </w:pPr>
      <w:r>
        <w:rPr>
          <w:rFonts w:hint="eastAsia" w:ascii="仿宋_GB2312" w:hAnsi="仿宋_GB2312" w:cs="仿宋_GB2312"/>
        </w:rPr>
        <w:t>1.</w:t>
      </w:r>
      <w:r>
        <w:rPr>
          <w:rFonts w:hint="eastAsia" w:ascii="宋体" w:hAnsi="宋体" w:cs="宋体"/>
          <w:color w:val="353535"/>
        </w:rPr>
        <w:t>镇安县交通运输局主要职责是：</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cs="宋体"/>
        </w:rPr>
      </w:pPr>
      <w:r>
        <w:rPr>
          <w:rFonts w:hint="eastAsia" w:ascii="宋体" w:hAnsi="宋体" w:cs="宋体"/>
        </w:rPr>
        <w:t>（一）贯彻执行国家有关交通运输的法律、法规、规章和政策、标准；拟定全县交通运输发展规划和交通运输行业政策；研究起草相关规范性文件；指导全县公路、水路交通运输行业体制改革工作。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cs="宋体"/>
        </w:rPr>
      </w:pPr>
      <w:r>
        <w:rPr>
          <w:rFonts w:hint="eastAsia" w:ascii="宋体" w:hAnsi="宋体" w:cs="宋体"/>
        </w:rPr>
        <w:t>（二）组织拟定全县公路、水路及城市客运行业发展规划、年度计划并监督实施；参与物流业发展规划的拟定，并监督实施。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cs="宋体"/>
        </w:rPr>
      </w:pPr>
      <w:r>
        <w:rPr>
          <w:rFonts w:hint="eastAsia" w:ascii="宋体" w:hAnsi="宋体" w:cs="宋体"/>
        </w:rPr>
        <w:t>（三）承担全县道路、水路运输市场监管责任。指导城乡客运及有关设施规划和管理工作；指导出租汽车行业管理工作；维护公路、水路交通运输行业和城市客运行业的平等竞争秩序。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cs="宋体"/>
        </w:rPr>
      </w:pPr>
      <w:r>
        <w:rPr>
          <w:rFonts w:hint="eastAsia" w:ascii="宋体" w:hAnsi="宋体" w:cs="宋体"/>
        </w:rPr>
        <w:t>（四）承担全县水上交通安全监管责任。负责船舶及相关水上设施检验、登记和防止污染、通信导航、救助打捞及危险品运输监督管理等工作；负责船舶代理、航道疏浚的行业管理；依法组织或参与事故调查处理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cs="宋体"/>
        </w:rPr>
      </w:pPr>
      <w:r>
        <w:rPr>
          <w:rFonts w:hint="eastAsia" w:ascii="宋体" w:hAnsi="宋体" w:cs="宋体"/>
        </w:rPr>
        <w:t>（五）负责提出全县公路、水路固定资产投资规模和方向、县级财政性资金安排意见；按照规定权限审批、核准规划内和年度计划规模内固定资产投资项目；依照有关规定拟定全县公路、水路有关规费政策并监督实施；提出有关财政、土地、价格等政策建议；负责收费公路的运营管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cs="宋体"/>
        </w:rPr>
      </w:pPr>
      <w:r>
        <w:rPr>
          <w:rFonts w:hint="eastAsia" w:ascii="宋体" w:hAnsi="宋体" w:cs="宋体"/>
        </w:rPr>
        <w:t>（六）承担全县公路、水路建设市场监督责任。贯彻执行国家有关公路、水路工程建设相关政策、制度和技术标准；负责全县重点公路、水路建设和工程质量、安全生产监督管理工作；负责全县公路、水路交通运输设施的管理和维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cs="宋体"/>
        </w:rPr>
      </w:pPr>
      <w:r>
        <w:rPr>
          <w:rFonts w:hint="eastAsia" w:ascii="宋体" w:hAnsi="宋体" w:cs="宋体"/>
        </w:rPr>
        <w:t>（七）指导公路、水路行业安全生产和应急管理工作。按规定组织协调重点物资和紧急客货运输；负责全县公路路网运行监测和协调；承担国防动员有关工作。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cs="宋体"/>
        </w:rPr>
      </w:pPr>
      <w:r>
        <w:rPr>
          <w:rFonts w:hint="eastAsia" w:ascii="宋体" w:hAnsi="宋体" w:cs="宋体"/>
        </w:rPr>
        <w:t>（八）指导交通运输信息化建设，监测分析运行情况，开展相关统计工作，发布有关信息；指导公路、水路行业环境保护和节能减排工作。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cs="宋体"/>
        </w:rPr>
      </w:pPr>
      <w:r>
        <w:rPr>
          <w:rFonts w:hint="eastAsia" w:ascii="宋体" w:hAnsi="宋体" w:cs="宋体"/>
        </w:rPr>
        <w:t>（九）承办县政府交办的其他事项。</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cs="宋体"/>
        </w:rPr>
      </w:pPr>
      <w:r>
        <w:rPr>
          <w:rStyle w:val="20"/>
          <w:rFonts w:hint="eastAsia" w:hAnsi="宋体" w:cs="仿宋_GB2312"/>
          <w:b/>
        </w:rPr>
        <w:t>（</w:t>
      </w:r>
      <w:r>
        <w:rPr>
          <w:rFonts w:hint="eastAsia" w:ascii="宋体" w:hAnsi="宋体" w:cs="宋体"/>
        </w:rPr>
        <w:t>十</w:t>
      </w:r>
      <w:r>
        <w:rPr>
          <w:rStyle w:val="20"/>
          <w:rFonts w:hint="eastAsia" w:hAnsi="宋体" w:cs="仿宋_GB2312"/>
          <w:b/>
        </w:rPr>
        <w:t>）</w:t>
      </w:r>
      <w:r>
        <w:rPr>
          <w:rStyle w:val="20"/>
          <w:rFonts w:hint="eastAsia" w:hAnsi="宋体" w:cs="仿宋_GB2312"/>
        </w:rPr>
        <w:t>根据</w:t>
      </w:r>
      <w:r>
        <w:rPr>
          <w:rFonts w:hint="eastAsia" w:ascii="宋体" w:hAnsi="宋体" w:cs="仿宋_GB2312"/>
        </w:rPr>
        <w:t>镇安县人民政府办公室《关于印发镇安县交通运输局主要职责内设机构和人员编制规定的通知》（</w:t>
      </w:r>
      <w:r>
        <w:rPr>
          <w:rFonts w:hint="eastAsia" w:ascii="宋体" w:hAnsi="宋体" w:cs="宋体"/>
        </w:rPr>
        <w:t>镇政办发〔2010〕117号</w:t>
      </w:r>
      <w:r>
        <w:rPr>
          <w:rFonts w:hint="eastAsia" w:ascii="宋体" w:hAnsi="宋体" w:cs="仿宋_GB2312"/>
        </w:rPr>
        <w:t>）精神，</w:t>
      </w:r>
      <w:r>
        <w:rPr>
          <w:rFonts w:hint="eastAsia" w:ascii="宋体" w:hAnsi="宋体" w:cs="宋体"/>
        </w:rPr>
        <w:t>职能调整部分：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cs="宋体"/>
        </w:rPr>
      </w:pPr>
      <w:r>
        <w:rPr>
          <w:rFonts w:hint="eastAsia" w:ascii="宋体" w:hAnsi="宋体" w:cs="宋体"/>
        </w:rPr>
        <w:t>(1).将原县交通局的职责、原县市政管理局指导城市客运职责，整合划入县交通运输局。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cs="宋体"/>
        </w:rPr>
      </w:pPr>
      <w:r>
        <w:rPr>
          <w:rFonts w:hint="eastAsia" w:ascii="宋体" w:hAnsi="宋体" w:cs="宋体"/>
        </w:rPr>
        <w:t>(2).加强统筹区域和城乡交通运输协调发展职责，优先发展公共交通，大力发展农村交通，加快推进区域和城乡交通运输一体化。</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32" w:firstLineChars="200"/>
        <w:jc w:val="left"/>
        <w:textAlignment w:val="auto"/>
        <w:rPr>
          <w:rFonts w:ascii="宋体" w:hAnsi="宋体"/>
        </w:rPr>
      </w:pPr>
      <w:r>
        <w:rPr>
          <w:rFonts w:hint="eastAsia" w:ascii="宋体" w:hAnsi="宋体" w:cs="宋体"/>
        </w:rPr>
        <w:t>(3).积极探索有机统一的交通运输大部门体制建设，进一步优化组织结构，完善综合运输行政运行机制。联系国家邮政局驻县机构。</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宋体" w:hAnsi="宋体"/>
        </w:rPr>
      </w:pPr>
      <w:r>
        <w:rPr>
          <w:rFonts w:hint="eastAsia" w:ascii="宋体" w:hAnsi="宋体" w:cs="仿宋_GB2312"/>
        </w:rPr>
        <w:t>2.</w:t>
      </w:r>
      <w:r>
        <w:rPr>
          <w:rFonts w:hint="eastAsia" w:ascii="宋体" w:hAnsi="宋体"/>
        </w:rPr>
        <w:t>2020年，县交通运输局按照县委、县政府的决策部署，重点抓好以下几方面工作：</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宋体" w:hAnsi="宋体"/>
        </w:rPr>
      </w:pPr>
      <w:r>
        <w:rPr>
          <w:rFonts w:hint="eastAsia" w:ascii="宋体" w:hAnsi="宋体"/>
        </w:rPr>
        <w:t>1、完成建设G345国道木王林场至栗扎二级公路建设。</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宋体" w:hAnsi="宋体"/>
        </w:rPr>
      </w:pPr>
      <w:r>
        <w:rPr>
          <w:rFonts w:hint="eastAsia" w:ascii="宋体" w:hAnsi="宋体"/>
        </w:rPr>
        <w:t>2、修建完成沙沟口至柴坪公路建设。</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宋体" w:hAnsi="宋体"/>
        </w:rPr>
      </w:pPr>
      <w:r>
        <w:rPr>
          <w:rFonts w:hint="eastAsia" w:ascii="宋体" w:hAnsi="宋体"/>
        </w:rPr>
        <w:t>3、完成2020年通村公路完善工程、桥涵配套、通村公路、农村公路安保工程、危桥改造工程、产业公路等建设任务。</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宋体" w:hAnsi="宋体"/>
        </w:rPr>
      </w:pPr>
      <w:r>
        <w:rPr>
          <w:rFonts w:hint="eastAsia" w:ascii="宋体" w:hAnsi="宋体"/>
        </w:rPr>
        <w:t>4、完成农村公路养护工程及县乡道日常养护任务。</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宋体" w:hAnsi="宋体"/>
        </w:rPr>
      </w:pPr>
      <w:r>
        <w:rPr>
          <w:rFonts w:hint="eastAsia" w:ascii="宋体" w:hAnsi="宋体"/>
        </w:rPr>
        <w:t>5、完成G345国道北城隧道过境路前期审批手续。</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宋体" w:hAnsi="宋体"/>
        </w:rPr>
      </w:pPr>
      <w:r>
        <w:rPr>
          <w:rFonts w:hint="eastAsia" w:ascii="宋体" w:hAnsi="宋体"/>
        </w:rPr>
        <w:t xml:space="preserve">6、启动建设G345国道庙坡岭隧道及引线公路一期工程。  </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宋体" w:hAnsi="宋体"/>
        </w:rPr>
      </w:pPr>
      <w:r>
        <w:rPr>
          <w:rFonts w:hint="eastAsia" w:ascii="宋体" w:hAnsi="宋体"/>
        </w:rPr>
        <w:t>7、启动建设G345铁厂至界河一期公路建设。</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宋体" w:hAnsi="宋体"/>
        </w:rPr>
      </w:pPr>
      <w:r>
        <w:rPr>
          <w:rFonts w:hint="eastAsia" w:ascii="宋体" w:hAnsi="宋体"/>
        </w:rPr>
        <w:t>8、开展公路水路的运输管理工作。</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宋体" w:hAnsi="宋体"/>
        </w:rPr>
      </w:pPr>
      <w:r>
        <w:rPr>
          <w:rFonts w:hint="eastAsia" w:ascii="宋体" w:hAnsi="宋体"/>
        </w:rPr>
        <w:t>9、按县委政府安排，开展包扶月河镇八盘村脱贫攻坚工作。</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宋体" w:hAnsi="宋体" w:cs="楷体_GB2312"/>
          <w:b/>
          <w:bCs/>
        </w:rPr>
      </w:pPr>
      <w:r>
        <w:rPr>
          <w:rFonts w:hint="eastAsia" w:ascii="宋体" w:hAnsi="宋体"/>
        </w:rPr>
        <w:t>10、完成上级及县委政府安排的其他工作</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华文楷体" w:hAnsi="华文楷体" w:eastAsia="华文楷体" w:cs="楷体_GB2312"/>
          <w:bCs/>
        </w:rPr>
      </w:pPr>
      <w:r>
        <w:rPr>
          <w:rFonts w:hint="eastAsia" w:ascii="华文楷体" w:hAnsi="华文楷体" w:eastAsia="华文楷体" w:cs="楷体_GB2312"/>
          <w:bCs/>
        </w:rPr>
        <w:t>（二）内设机构</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仿宋_GB2312" w:hAnsi="仿宋_GB2312" w:cs="仿宋_GB2312"/>
        </w:rPr>
      </w:pPr>
      <w:r>
        <w:rPr>
          <w:rFonts w:hint="eastAsia" w:ascii="仿宋_GB2312" w:hAnsi="仿宋_GB2312" w:cs="仿宋_GB2312"/>
        </w:rPr>
        <w:t>根据上述职责，本部门2020年内设4个股室（包括：办公室、公路股、财务股、运管股）</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黑体" w:hAnsi="黑体" w:eastAsia="黑体" w:cs="黑体"/>
        </w:rPr>
      </w:pPr>
      <w:r>
        <w:rPr>
          <w:rFonts w:hint="eastAsia" w:ascii="黑体" w:hAnsi="黑体" w:eastAsia="黑体" w:cs="黑体"/>
        </w:rPr>
        <w:t>二、部门决算单位构成</w:t>
      </w:r>
    </w:p>
    <w:p>
      <w:pPr>
        <w:keepNext w:val="0"/>
        <w:keepLines w:val="0"/>
        <w:pageBreakBefore w:val="0"/>
        <w:widowControl w:val="0"/>
        <w:kinsoku/>
        <w:wordWrap/>
        <w:overflowPunct/>
        <w:topLinePunct w:val="0"/>
        <w:autoSpaceDE/>
        <w:autoSpaceDN/>
        <w:bidi w:val="0"/>
        <w:adjustRightInd/>
        <w:spacing w:line="560" w:lineRule="exact"/>
        <w:ind w:left="0" w:leftChars="0" w:right="0" w:firstLine="632" w:firstLineChars="200"/>
        <w:textAlignment w:val="auto"/>
        <w:rPr>
          <w:rFonts w:ascii="仿宋_GB2312" w:hAnsi="仿宋_GB2312" w:cs="仿宋_GB2312"/>
        </w:rPr>
      </w:pPr>
      <w:r>
        <w:rPr>
          <w:rFonts w:hint="eastAsia" w:ascii="仿宋_GB2312" w:hAnsi="仿宋_GB2312" w:cs="仿宋_GB2312"/>
        </w:rPr>
        <w:t>纳入2020年本部门决算编制范围的单位共5个，包括本级所属4个二级预算单位：</w:t>
      </w:r>
    </w:p>
    <w:tbl>
      <w:tblPr>
        <w:tblStyle w:val="9"/>
        <w:tblW w:w="7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6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序号</w:t>
            </w:r>
          </w:p>
        </w:tc>
        <w:tc>
          <w:tcPr>
            <w:tcW w:w="65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65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镇安县交通运输局机关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65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镇安县农村公路公路局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65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镇安县道路运输管理所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4</w:t>
            </w:r>
          </w:p>
        </w:tc>
        <w:tc>
          <w:tcPr>
            <w:tcW w:w="65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镇安县交通工程质量监督所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5</w:t>
            </w:r>
          </w:p>
        </w:tc>
        <w:tc>
          <w:tcPr>
            <w:tcW w:w="65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镇安县风凸岭隧道管理所</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32" w:firstLineChars="200"/>
        <w:textAlignment w:val="auto"/>
        <w:rPr>
          <w:rFonts w:ascii="黑体" w:hAnsi="黑体" w:eastAsia="黑体" w:cs="黑体"/>
        </w:rPr>
      </w:pPr>
      <w:r>
        <w:rPr>
          <w:rFonts w:hint="eastAsia" w:ascii="黑体" w:hAnsi="黑体" w:eastAsia="黑体" w:cs="黑体"/>
        </w:rPr>
        <w:t>三、部门人员情况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32" w:firstLineChars="200"/>
        <w:textAlignment w:val="auto"/>
        <w:rPr>
          <w:rFonts w:ascii="仿宋_GB2312" w:hAnsi="仿宋_GB2312" w:cs="仿宋_GB2312"/>
        </w:rPr>
      </w:pPr>
      <w:r>
        <w:rPr>
          <w:rFonts w:hint="eastAsia" w:ascii="仿宋_GB2312" w:hAnsi="仿宋_GB2312" w:cs="仿宋_GB2312"/>
        </w:rPr>
        <w:t>截止2020年底，本部门人员编制58人，其中行政编制10人、事业编制48人；实有人员115人，其中行政10人、事业105人。单位管理的离退休人员29人，其中：离休人员0人。</w:t>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仿宋" w:hAnsi="仿宋" w:eastAsia="仿宋"/>
        </w:rPr>
      </w:pPr>
      <w:r>
        <w:rPr>
          <w:rFonts w:ascii="仿宋" w:hAnsi="仿宋" w:eastAsia="仿宋"/>
        </w:rPr>
        <w:drawing>
          <wp:inline distT="0" distB="0" distL="0" distR="0">
            <wp:extent cx="3838575" cy="2466975"/>
            <wp:effectExtent l="0" t="0" r="0" b="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仿宋" w:hAnsi="仿宋" w:eastAsia="仿宋"/>
        </w:rPr>
      </w:pP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仿宋" w:hAnsi="仿宋" w:eastAsia="仿宋"/>
        </w:rPr>
      </w:pPr>
      <w:r>
        <w:rPr>
          <w:rFonts w:ascii="仿宋" w:hAnsi="仿宋" w:eastAsia="仿宋"/>
        </w:rPr>
        <w:drawing>
          <wp:inline distT="0" distB="0" distL="0" distR="0">
            <wp:extent cx="3876675" cy="231457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tbl>
      <w:tblPr>
        <w:tblStyle w:val="9"/>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4056"/>
        <w:gridCol w:w="1413"/>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序 号</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内容</w:t>
            </w:r>
          </w:p>
        </w:tc>
        <w:tc>
          <w:tcPr>
            <w:tcW w:w="14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是否空表</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表1</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收入支出决算总表</w:t>
            </w:r>
          </w:p>
        </w:tc>
        <w:tc>
          <w:tcPr>
            <w:tcW w:w="14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表2</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收入决算表</w:t>
            </w:r>
          </w:p>
        </w:tc>
        <w:tc>
          <w:tcPr>
            <w:tcW w:w="14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表3</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支出决算表</w:t>
            </w:r>
          </w:p>
        </w:tc>
        <w:tc>
          <w:tcPr>
            <w:tcW w:w="14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表4</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财政拨款收入支出决算总表</w:t>
            </w:r>
          </w:p>
        </w:tc>
        <w:tc>
          <w:tcPr>
            <w:tcW w:w="14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表5</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一般公共预算财政拨款支出决算表（按功能分类科目）</w:t>
            </w:r>
          </w:p>
        </w:tc>
        <w:tc>
          <w:tcPr>
            <w:tcW w:w="14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表6</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一般公共预算财政拨款基本支出决算表（按经济分类科目）</w:t>
            </w:r>
          </w:p>
        </w:tc>
        <w:tc>
          <w:tcPr>
            <w:tcW w:w="14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表7</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一般公共预算财政拨款“三公”经费及会议费、培训费支出决算表</w:t>
            </w:r>
          </w:p>
        </w:tc>
        <w:tc>
          <w:tcPr>
            <w:tcW w:w="14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表8</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政府性基金预算财政拨款收入支出决算表</w:t>
            </w:r>
          </w:p>
        </w:tc>
        <w:tc>
          <w:tcPr>
            <w:tcW w:w="14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表9</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政府国有资本经营财政拨款支出决算表</w:t>
            </w:r>
          </w:p>
        </w:tc>
        <w:tc>
          <w:tcPr>
            <w:tcW w:w="14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是</w:t>
            </w:r>
          </w:p>
        </w:tc>
        <w:tc>
          <w:tcPr>
            <w:tcW w:w="22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无国有资本经营财政拨款支出</w:t>
            </w:r>
          </w:p>
        </w:tc>
      </w:tr>
    </w:tbl>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r>
        <w:rPr>
          <w:rFonts w:hint="eastAsia" w:ascii="仿宋_GB2312" w:hAnsi="仿宋_GB2312" w:cs="仿宋_GB2312"/>
        </w:rPr>
        <w:br w:type="page"/>
      </w:r>
      <w:r>
        <w:rPr>
          <w:rFonts w:hint="eastAsia" w:ascii="方正小标宋简体" w:hAnsi="方正小标宋简体" w:eastAsia="方正小标宋简体" w:cs="方正小标宋简体"/>
          <w:sz w:val="36"/>
          <w:szCs w:val="36"/>
        </w:rPr>
        <w:t>收入支出决算总表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6272" w:firstLineChars="320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公开01表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编制部门：镇安县交通运输局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22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1134"/>
        <w:gridCol w:w="3402"/>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6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454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19369.84</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23631.85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392" w:firstLineChars="200"/>
              <w:jc w:val="left"/>
              <w:textAlignment w:val="auto"/>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4、上级补助收入</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5、事业收入</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6、经营收入</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6、科学技术支出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8、其他收入</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12、农林水支出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13、交通运输支出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left"/>
              <w:textAlignment w:val="auto"/>
              <w:rPr>
                <w:rFonts w:hint="eastAsia" w:ascii="宋体" w:hAnsi="宋体" w:eastAsia="宋体" w:cs="宋体"/>
                <w:sz w:val="20"/>
                <w:szCs w:val="20"/>
              </w:rPr>
            </w:pPr>
            <w:r>
              <w:rPr>
                <w:rFonts w:hint="eastAsia" w:ascii="宋体" w:hAnsi="宋体" w:eastAsia="宋体" w:cs="宋体"/>
                <w:sz w:val="20"/>
                <w:szCs w:val="20"/>
              </w:rPr>
              <w:t>22、其他支出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24796.84</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23631.85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r>
              <w:rPr>
                <w:rFonts w:hint="eastAsia" w:ascii="宋体" w:hAnsi="宋体" w:eastAsia="宋体" w:cs="宋体"/>
                <w:sz w:val="20"/>
                <w:szCs w:val="20"/>
              </w:rPr>
              <w:t>结余分配</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r>
              <w:rPr>
                <w:rFonts w:hint="eastAsia" w:ascii="宋体" w:hAnsi="宋体" w:eastAsia="宋体" w:cs="宋体"/>
                <w:sz w:val="20"/>
                <w:szCs w:val="20"/>
              </w:rPr>
              <w:t>年初结转和结余</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1.81</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r>
              <w:rPr>
                <w:rFonts w:hint="eastAsia" w:ascii="宋体" w:hAnsi="宋体" w:eastAsia="宋体" w:cs="宋体"/>
                <w:sz w:val="20"/>
                <w:szCs w:val="20"/>
              </w:rPr>
              <w:t>年末结24796.转和结余</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24798.65</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402"/>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24798.65</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b/>
          <w:bCs/>
          <w:sz w:val="20"/>
          <w:szCs w:val="20"/>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注：本表反映部门本年度的总收支和年末结转结余情况。本表金额转换为万元时，因四舍五入可能存在尾差。</w:t>
      </w:r>
    </w:p>
    <w:p>
      <w:pPr>
        <w:rPr>
          <w:rFonts w:hint="eastAsia" w:ascii="方正小标宋简体" w:hAnsi="方正小标宋简体" w:eastAsia="方正小标宋简体" w:cs="方正小标宋简体"/>
          <w:sz w:val="22"/>
          <w:szCs w:val="22"/>
        </w:rPr>
      </w:pPr>
      <w:r>
        <w:rPr>
          <w:rFonts w:hint="eastAsia" w:ascii="方正小标宋简体" w:hAnsi="方正小标宋简体" w:eastAsia="方正小标宋简体" w:cs="方正小标宋简体"/>
          <w:sz w:val="22"/>
          <w:szCs w:val="22"/>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收入决算表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6272" w:firstLineChars="320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编制部门：镇安县交通运输局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512"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559"/>
        <w:gridCol w:w="1115"/>
        <w:gridCol w:w="741"/>
        <w:gridCol w:w="922"/>
        <w:gridCol w:w="709"/>
        <w:gridCol w:w="972"/>
        <w:gridCol w:w="628"/>
        <w:gridCol w:w="906"/>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111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right="0" w:firstLine="0"/>
              <w:jc w:val="both"/>
              <w:textAlignment w:val="auto"/>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74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92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上级</w:t>
            </w:r>
          </w:p>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补助</w:t>
            </w:r>
          </w:p>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168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62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textAlignment w:val="auto"/>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90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left"/>
              <w:textAlignment w:val="auto"/>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61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textAlignment w:val="auto"/>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348"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11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p>
        </w:tc>
        <w:tc>
          <w:tcPr>
            <w:tcW w:w="74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p>
        </w:tc>
        <w:tc>
          <w:tcPr>
            <w:tcW w:w="922"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628"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p>
        </w:tc>
        <w:tc>
          <w:tcPr>
            <w:tcW w:w="906"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p>
        </w:tc>
        <w:tc>
          <w:tcPr>
            <w:tcW w:w="612"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90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115"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bCs/>
                <w:sz w:val="20"/>
                <w:szCs w:val="20"/>
              </w:rPr>
            </w:pPr>
            <w:r>
              <w:rPr>
                <w:rFonts w:hint="eastAsia" w:ascii="宋体" w:hAnsi="宋体" w:eastAsia="宋体" w:cs="宋体"/>
                <w:bCs/>
                <w:sz w:val="20"/>
                <w:szCs w:val="20"/>
              </w:rPr>
              <w:t>24796.84</w:t>
            </w:r>
          </w:p>
        </w:tc>
        <w:tc>
          <w:tcPr>
            <w:tcW w:w="741"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0"/>
              <w:textAlignment w:val="auto"/>
              <w:rPr>
                <w:rFonts w:hint="eastAsia" w:ascii="宋体" w:hAnsi="宋体" w:eastAsia="宋体" w:cs="宋体"/>
                <w:bCs/>
                <w:sz w:val="20"/>
                <w:szCs w:val="20"/>
              </w:rPr>
            </w:pPr>
            <w:r>
              <w:rPr>
                <w:rFonts w:hint="eastAsia" w:ascii="宋体" w:hAnsi="宋体" w:eastAsia="宋体" w:cs="宋体"/>
                <w:bCs/>
                <w:sz w:val="20"/>
                <w:szCs w:val="20"/>
              </w:rPr>
              <w:t>2</w:t>
            </w:r>
          </w:p>
        </w:tc>
        <w:tc>
          <w:tcPr>
            <w:tcW w:w="92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0"/>
              <w:textAlignment w:val="auto"/>
              <w:rPr>
                <w:rFonts w:hint="eastAsia" w:ascii="宋体" w:hAnsi="宋体" w:eastAsia="宋体" w:cs="宋体"/>
                <w:bCs/>
                <w:sz w:val="20"/>
                <w:szCs w:val="20"/>
              </w:rPr>
            </w:pPr>
          </w:p>
        </w:tc>
        <w:tc>
          <w:tcPr>
            <w:tcW w:w="70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0"/>
              <w:textAlignment w:val="auto"/>
              <w:rPr>
                <w:rFonts w:hint="eastAsia" w:ascii="宋体" w:hAnsi="宋体" w:eastAsia="宋体" w:cs="宋体"/>
                <w:bCs/>
                <w:sz w:val="20"/>
                <w:szCs w:val="20"/>
              </w:rPr>
            </w:pPr>
          </w:p>
        </w:tc>
        <w:tc>
          <w:tcPr>
            <w:tcW w:w="97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0"/>
              <w:textAlignment w:val="auto"/>
              <w:rPr>
                <w:rFonts w:hint="eastAsia" w:ascii="宋体" w:hAnsi="宋体" w:eastAsia="宋体" w:cs="宋体"/>
                <w:bCs/>
                <w:sz w:val="20"/>
                <w:szCs w:val="20"/>
              </w:rPr>
            </w:pPr>
          </w:p>
        </w:tc>
        <w:tc>
          <w:tcPr>
            <w:tcW w:w="628"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0"/>
              <w:textAlignment w:val="auto"/>
              <w:rPr>
                <w:rFonts w:hint="eastAsia" w:ascii="宋体" w:hAnsi="宋体" w:eastAsia="宋体" w:cs="宋体"/>
                <w:bCs/>
                <w:sz w:val="20"/>
                <w:szCs w:val="20"/>
              </w:rPr>
            </w:pPr>
          </w:p>
        </w:tc>
        <w:tc>
          <w:tcPr>
            <w:tcW w:w="90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0"/>
              <w:textAlignment w:val="auto"/>
              <w:rPr>
                <w:rFonts w:hint="eastAsia" w:ascii="宋体" w:hAnsi="宋体" w:eastAsia="宋体" w:cs="宋体"/>
                <w:bCs/>
                <w:sz w:val="20"/>
                <w:szCs w:val="20"/>
              </w:rPr>
            </w:pPr>
          </w:p>
        </w:tc>
        <w:tc>
          <w:tcPr>
            <w:tcW w:w="61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0"/>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2119901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其他节能环保支出</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187.1</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2130142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农村道路建设</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21401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交通运输支出</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19032.74</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2140101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textAlignment w:val="auto"/>
              <w:rPr>
                <w:rFonts w:hint="eastAsia" w:ascii="宋体" w:hAnsi="宋体" w:eastAsia="宋体" w:cs="宋体"/>
                <w:sz w:val="20"/>
                <w:szCs w:val="20"/>
              </w:rPr>
            </w:pPr>
            <w:r>
              <w:rPr>
                <w:rFonts w:hint="eastAsia" w:ascii="宋体" w:hAnsi="宋体" w:eastAsia="宋体" w:cs="宋体"/>
                <w:sz w:val="20"/>
                <w:szCs w:val="20"/>
              </w:rPr>
              <w:t>财政事务</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14499.76</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2140104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151.89</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2140106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公路建设</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7275.26</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2140112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公路养护</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1331.01</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2140199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公路运输管理</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276.14</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21404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其他公路水路支出</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5465.47</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2140401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成品油价格改革对交通运输的补贴</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89.68</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21406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对城市公交的补贴</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89.68</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2140601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车辆购置税支出</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4443.29</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2140602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车辆购置税用于公路等基础实施建设支出</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3360</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234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车辆购置税用于农村公路建设支出</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1083.29</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left"/>
              <w:textAlignment w:val="auto"/>
              <w:rPr>
                <w:rFonts w:hint="eastAsia" w:ascii="宋体" w:hAnsi="宋体" w:eastAsia="宋体" w:cs="宋体"/>
                <w:sz w:val="20"/>
                <w:szCs w:val="20"/>
              </w:rPr>
            </w:pPr>
            <w:r>
              <w:rPr>
                <w:rFonts w:hint="eastAsia" w:ascii="宋体" w:hAnsi="宋体" w:eastAsia="宋体" w:cs="宋体"/>
                <w:sz w:val="20"/>
                <w:szCs w:val="20"/>
              </w:rPr>
              <w:t>23401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抗疫特别国债安排的支出</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2340109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textAlignment w:val="auto"/>
              <w:rPr>
                <w:rFonts w:hint="eastAsia" w:ascii="宋体" w:hAnsi="宋体" w:eastAsia="宋体" w:cs="宋体"/>
                <w:sz w:val="20"/>
                <w:szCs w:val="20"/>
              </w:rPr>
            </w:pPr>
            <w:r>
              <w:rPr>
                <w:rFonts w:hint="eastAsia" w:ascii="宋体" w:hAnsi="宋体" w:eastAsia="宋体" w:cs="宋体"/>
                <w:sz w:val="20"/>
                <w:szCs w:val="20"/>
              </w:rPr>
              <w:t>基础设施建设</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auto"/>
              <w:rPr>
                <w:rFonts w:hint="eastAsia" w:ascii="宋体" w:hAnsi="宋体" w:eastAsia="宋体" w:cs="宋体"/>
                <w:sz w:val="20"/>
                <w:szCs w:val="20"/>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交通基础设施建设</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c>
          <w:tcPr>
            <w:tcW w:w="6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361"/>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编制部门：镇安县交通运输局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958"/>
        <w:gridCol w:w="1114"/>
        <w:gridCol w:w="992"/>
        <w:gridCol w:w="1047"/>
        <w:gridCol w:w="906"/>
        <w:gridCol w:w="1002"/>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111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9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基本</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104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90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100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经营</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87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功能科目</w:t>
            </w:r>
          </w:p>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编码</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11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p>
        </w:tc>
        <w:tc>
          <w:tcPr>
            <w:tcW w:w="9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p>
        </w:tc>
        <w:tc>
          <w:tcPr>
            <w:tcW w:w="104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p>
        </w:tc>
        <w:tc>
          <w:tcPr>
            <w:tcW w:w="9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p>
        </w:tc>
        <w:tc>
          <w:tcPr>
            <w:tcW w:w="10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p>
        </w:tc>
        <w:tc>
          <w:tcPr>
            <w:tcW w:w="87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08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23631.54</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1270.05</w:t>
            </w: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22361.06</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节能环保支出</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1,87.1</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1,87.1</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21199</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其他节能环保支出</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187.1</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187.1</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2119901</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其他节能环保支出</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187.1</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187.1</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213</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农林水支出</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21301</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农业农村</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2130142</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农村道路建设</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农村道路建设</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17867.75</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1270.05</w:t>
            </w: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16597.71</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21401</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公路水路运输</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13334.78</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1270.05</w:t>
            </w: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12064.33</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2140101</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151.91</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151.91</w:t>
            </w: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2140104</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公路建设</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6109.39</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6109.7</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2140106</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公路养护</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1331.15</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6,83.15</w:t>
            </w: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648</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2140112</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公路运输管理</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276.42</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276.42</w:t>
            </w: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2140199</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其他公路水路运输支出</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5465.67</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158.1</w:t>
            </w: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5307.67</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21404</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成品油价格改革对交通运输的补贴</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89.68</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89.68</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2140401</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对城市公交的补贴</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89.68</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89.68</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21406</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车辆购置税支出</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4443.29</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4443.29</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2140601</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车辆购置税用于公路等基础设施建设支出</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3360</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3360</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2140602</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车辆购置税用于农村公路建设支出</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1083.29</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1083.29</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234</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抗疫特别国债安排的支出</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23401</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基础设施建设</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2340109</w:t>
            </w:r>
          </w:p>
        </w:tc>
        <w:tc>
          <w:tcPr>
            <w:tcW w:w="19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交通基础设施建设</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9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10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c>
          <w:tcPr>
            <w:tcW w:w="8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6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r>
        <w:rPr>
          <w:rFonts w:hint="eastAsia" w:ascii="仿宋_GB2312" w:hAnsi="仿宋_GB2312" w:cs="仿宋_GB2312"/>
          <w:sz w:val="24"/>
        </w:rPr>
        <w:br w:type="page"/>
      </w: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编制部门：镇安县交通运输局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295"/>
        <w:gridCol w:w="1946"/>
        <w:gridCol w:w="1134"/>
        <w:gridCol w:w="1294"/>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12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588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19369.84</w:t>
            </w: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23631.85</w:t>
            </w: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18204.85</w:t>
            </w:r>
          </w:p>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24796.84</w:t>
            </w: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23631.85</w:t>
            </w: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18204.85</w:t>
            </w: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w:t>
            </w:r>
          </w:p>
        </w:tc>
        <w:tc>
          <w:tcPr>
            <w:tcW w:w="1946"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1166.79</w:t>
            </w: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1166.79</w:t>
            </w: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6"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6"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24798.64</w:t>
            </w: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24798.64</w:t>
            </w: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rPr>
      </w:pPr>
      <w:r>
        <w:rPr>
          <w:rFonts w:hint="eastAsia" w:ascii="仿宋_GB2312" w:hAnsi="仿宋_GB2312" w:cs="仿宋_GB2312"/>
          <w:sz w:val="20"/>
          <w:szCs w:val="20"/>
        </w:rPr>
        <w:br w:type="page"/>
      </w:r>
      <w:r>
        <w:rPr>
          <w:rFonts w:hint="eastAsia" w:ascii="方正小标宋简体" w:hAnsi="方正小标宋简体" w:eastAsia="方正小标宋简体" w:cs="方正小标宋简体"/>
        </w:rPr>
        <w:t>一般公共预算财政拨款支出决算表（按功能分类科目）</w:t>
      </w:r>
    </w:p>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编制部门：镇安县交通运输局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2156"/>
        <w:gridCol w:w="1293"/>
        <w:gridCol w:w="1005"/>
        <w:gridCol w:w="1005"/>
        <w:gridCol w:w="1153"/>
        <w:gridCol w:w="1293"/>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33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29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本年支出</w:t>
            </w:r>
          </w:p>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3163"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29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71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2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人员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经费</w:t>
            </w: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2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71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33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18204.86</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1270.05</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1112.17</w:t>
            </w: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157.87</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16934.81</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节能环保支出</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187.1</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187.1</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21199</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其他节能环保支出</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187.1</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187.1</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2119901</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其他节能环保支出</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187.1</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187.1</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213</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农林水支出</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150</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150</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21301</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农业农村</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150</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150</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2130142</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农村道路建设</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150</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150</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交通运输支出</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17867.76</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1270.05</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1112.72</w:t>
            </w: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157.87</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16597.71</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21401</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公路水路运输</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13334.78</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1270.05</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1112.17</w:t>
            </w: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157.87</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12064.73</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2140101</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151.89</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115.67</w:t>
            </w: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36.22</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2140104</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公路建设</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6109.36</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6109.36</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2140106</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公路养护</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1331.91</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683.91</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593.29</w:t>
            </w: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90.62</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648</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2140112</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公路运输管理</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276.14</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276.14</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250.98</w:t>
            </w: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25.16</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2140199</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sz w:val="20"/>
                <w:szCs w:val="20"/>
              </w:rPr>
              <w:t>其他公路水路运输支出</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5465.47</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158.1</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152.22</w:t>
            </w: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5.88</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5307.37</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21404</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sz w:val="20"/>
                <w:szCs w:val="20"/>
              </w:rPr>
              <w:t>成品油价格改革对交通运输的补贴</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89.68</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89.68</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2140401</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sz w:val="20"/>
                <w:szCs w:val="20"/>
              </w:rPr>
              <w:t>对城市公交的补贴</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89.68</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89.68</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21406</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sz w:val="20"/>
                <w:szCs w:val="20"/>
              </w:rPr>
              <w:t>车辆购置税支出</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4443.29</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4443.29</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2140601</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sz w:val="20"/>
                <w:szCs w:val="20"/>
              </w:rPr>
              <w:t>车辆购置税用于公路等基础设施建设支出</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3360</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3360</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2140602</w:t>
            </w:r>
          </w:p>
        </w:tc>
        <w:tc>
          <w:tcPr>
            <w:tcW w:w="21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sz w:val="20"/>
                <w:szCs w:val="20"/>
              </w:rPr>
              <w:t>车辆购置税用于农村公路建设支出</w:t>
            </w: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1083.29</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c>
          <w:tcPr>
            <w:tcW w:w="12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1083.29</w:t>
            </w:r>
          </w:p>
        </w:tc>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bCs/>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一般公共预算财政拨款基本支出决算表（按经济分类科目）</w:t>
      </w:r>
    </w:p>
    <w:p>
      <w:pPr>
        <w:keepNext w:val="0"/>
        <w:keepLines w:val="0"/>
        <w:pageBreakBefore w:val="0"/>
        <w:kinsoku/>
        <w:wordWrap/>
        <w:overflowPunct/>
        <w:topLinePunct w:val="0"/>
        <w:autoSpaceDE/>
        <w:autoSpaceDN/>
        <w:bidi w:val="0"/>
        <w:adjustRightInd/>
        <w:snapToGrid/>
        <w:spacing w:line="280" w:lineRule="exact"/>
        <w:ind w:left="0" w:leftChars="0" w:right="0" w:firstLine="5926" w:firstLineChars="3023"/>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公开06表</w:t>
      </w:r>
    </w:p>
    <w:p>
      <w:pPr>
        <w:keepNext w:val="0"/>
        <w:keepLines w:val="0"/>
        <w:pageBreakBefore w:val="0"/>
        <w:kinsoku/>
        <w:wordWrap/>
        <w:overflowPunct/>
        <w:topLinePunct w:val="0"/>
        <w:autoSpaceDE/>
        <w:autoSpaceDN/>
        <w:bidi w:val="0"/>
        <w:adjustRightInd/>
        <w:snapToGrid/>
        <w:spacing w:line="280" w:lineRule="exact"/>
        <w:ind w:left="0" w:leftChars="0" w:right="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编制部门：镇安县交通运输局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3213"/>
        <w:gridCol w:w="1294"/>
        <w:gridCol w:w="1222"/>
        <w:gridCol w:w="1321"/>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7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2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本年支出</w:t>
            </w:r>
          </w:p>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22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5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经济分类科目</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2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5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7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Cs/>
                <w:sz w:val="20"/>
                <w:szCs w:val="20"/>
              </w:rPr>
              <w:t>1270.05</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Cs/>
                <w:sz w:val="20"/>
                <w:szCs w:val="20"/>
              </w:rPr>
              <w:t>1112.17</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Cs/>
                <w:sz w:val="20"/>
                <w:szCs w:val="20"/>
              </w:rPr>
              <w:t>157.88</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301</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工资福利支出</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1104.13</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1104.13</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30101</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基本工资</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486.52</w:t>
            </w:r>
          </w:p>
        </w:tc>
        <w:tc>
          <w:tcPr>
            <w:tcW w:w="1222" w:type="dxa"/>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486.52</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30102</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津贴补贴</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91.78</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91.78</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30103</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奖金</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21.1</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21.1</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30105</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绩效工资</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272.97</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272.97</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30106</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机关事业单位基本养老保险缴费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75.44</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75.44</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30107</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职业年金缴费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27.6</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27.6</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30108</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职工基本医疗保险缴费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55.88</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55.88</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301010</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其他社会保障缴费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9.47</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9.47</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商品和服务支出</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157.88</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157.88</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30201</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办公费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30.75</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30.75</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30202</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印刷费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7.98</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7.98</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30205</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水费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0.63</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0.63</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30206</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电费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5.87</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5.87</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30207</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邮电费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2.15</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2.15</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30210</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差旅费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34.44</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34.44</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30213</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维修（护）费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6.71</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6.71</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30214</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租赁费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4</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4</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30215</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会议费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0.58</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0.58</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30216</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培训费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1.47</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1.47</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30217</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公务接待费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0.116</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0.116</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30220</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专用燃料费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1.68</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1.68</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30221</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劳务费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36.82</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36.82</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30223</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工会经费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9.67</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9.67</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30224</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公务用车运行维护费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30225</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其他交通费用</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5.74</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5.74</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30227</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其他商品和服务支出</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7.27</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7.27</w:t>
            </w: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303</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对个人和家庭的补助</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8.04</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8.04</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30304</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抚恤金</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7.14</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7.14</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30305</w:t>
            </w:r>
          </w:p>
        </w:tc>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生活补助</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0.9</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0.9</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left="0" w:leftChars="0" w:right="0" w:firstLine="392" w:firstLineChars="200"/>
        <w:textAlignment w:val="auto"/>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rPr>
      </w:pPr>
      <w:r>
        <w:rPr>
          <w:rFonts w:hint="eastAsia" w:ascii="仿宋_GB2312" w:hAnsi="仿宋_GB2312" w:cs="仿宋_GB2312"/>
          <w:sz w:val="20"/>
          <w:szCs w:val="20"/>
        </w:rPr>
        <w:br w:type="page"/>
      </w:r>
      <w:r>
        <w:rPr>
          <w:rFonts w:hint="eastAsia" w:ascii="方正小标宋简体" w:hAnsi="方正小标宋简体" w:eastAsia="方正小标宋简体" w:cs="方正小标宋简体"/>
        </w:rPr>
        <w:t>一般公共预算财政拨款“三公”经费及</w:t>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会议费、培训费支出决算表</w:t>
      </w:r>
    </w:p>
    <w:p>
      <w:pPr>
        <w:keepNext w:val="0"/>
        <w:keepLines w:val="0"/>
        <w:pageBreakBefore w:val="0"/>
        <w:kinsoku/>
        <w:wordWrap/>
        <w:overflowPunct/>
        <w:topLinePunct w:val="0"/>
        <w:autoSpaceDE/>
        <w:autoSpaceDN/>
        <w:bidi w:val="0"/>
        <w:adjustRightInd/>
        <w:snapToGrid/>
        <w:spacing w:line="280" w:lineRule="exact"/>
        <w:ind w:left="0" w:leftChars="0" w:right="0" w:firstLine="5926" w:firstLineChars="3023"/>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kinsoku/>
        <w:wordWrap/>
        <w:overflowPunct/>
        <w:topLinePunct w:val="0"/>
        <w:autoSpaceDE/>
        <w:autoSpaceDN/>
        <w:bidi w:val="0"/>
        <w:adjustRightInd/>
        <w:snapToGrid/>
        <w:spacing w:line="280" w:lineRule="exact"/>
        <w:ind w:left="0" w:leftChars="0" w:right="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编制部门：镇安县交通运输局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68"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005"/>
        <w:gridCol w:w="1007"/>
        <w:gridCol w:w="1007"/>
        <w:gridCol w:w="1007"/>
        <w:gridCol w:w="1007"/>
        <w:gridCol w:w="1007"/>
        <w:gridCol w:w="100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2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604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会议费</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0.116</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0.116</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预算数</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0.18</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0.18</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0.2</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0.116</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0.116</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0.1</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0.12</w:t>
            </w:r>
          </w:p>
        </w:tc>
      </w:tr>
    </w:tbl>
    <w:p>
      <w:pPr>
        <w:keepNext w:val="0"/>
        <w:keepLines w:val="0"/>
        <w:pageBreakBefore w:val="0"/>
        <w:kinsoku/>
        <w:wordWrap/>
        <w:overflowPunct/>
        <w:topLinePunct w:val="0"/>
        <w:autoSpaceDE/>
        <w:autoSpaceDN/>
        <w:bidi w:val="0"/>
        <w:adjustRightInd/>
        <w:snapToGrid/>
        <w:spacing w:line="280" w:lineRule="exact"/>
        <w:ind w:left="0" w:leftChars="0" w:right="0" w:firstLine="392" w:firstLineChars="20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left="0" w:leftChars="0" w:right="0" w:firstLine="392" w:firstLineChars="20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kinsoku/>
        <w:wordWrap/>
        <w:overflowPunct/>
        <w:topLinePunct w:val="0"/>
        <w:autoSpaceDE/>
        <w:autoSpaceDN/>
        <w:bidi w:val="0"/>
        <w:adjustRightInd/>
        <w:snapToGrid/>
        <w:spacing w:line="280" w:lineRule="exact"/>
        <w:ind w:left="0" w:leftChars="0" w:right="0" w:firstLine="5741" w:firstLineChars="2929"/>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kinsoku/>
        <w:wordWrap/>
        <w:overflowPunct/>
        <w:topLinePunct w:val="0"/>
        <w:autoSpaceDE/>
        <w:autoSpaceDN/>
        <w:bidi w:val="0"/>
        <w:adjustRightInd/>
        <w:snapToGrid/>
        <w:spacing w:line="280" w:lineRule="exact"/>
        <w:ind w:left="0" w:leftChars="0" w:right="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编制部门：镇安县交通运输局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587"/>
        <w:gridCol w:w="1047"/>
        <w:gridCol w:w="1110"/>
        <w:gridCol w:w="1110"/>
        <w:gridCol w:w="1110"/>
        <w:gridCol w:w="1111"/>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7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4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3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7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234</w:t>
            </w:r>
          </w:p>
        </w:tc>
        <w:tc>
          <w:tcPr>
            <w:tcW w:w="1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抗疫特别国债安排的支出</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23401</w:t>
            </w:r>
          </w:p>
        </w:tc>
        <w:tc>
          <w:tcPr>
            <w:tcW w:w="1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基础设施建设</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2340109</w:t>
            </w:r>
          </w:p>
        </w:tc>
        <w:tc>
          <w:tcPr>
            <w:tcW w:w="1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交通基础设施建设</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left="0" w:leftChars="0" w:right="0" w:firstLine="392" w:firstLineChars="20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keepNext w:val="0"/>
        <w:keepLines w:val="0"/>
        <w:pageBreakBefore w:val="0"/>
        <w:kinsoku/>
        <w:wordWrap/>
        <w:overflowPunct/>
        <w:topLinePunct w:val="0"/>
        <w:autoSpaceDE/>
        <w:autoSpaceDN/>
        <w:bidi w:val="0"/>
        <w:adjustRightInd/>
        <w:spacing w:line="240" w:lineRule="auto"/>
        <w:ind w:left="0" w:leftChars="0" w:right="0" w:firstLine="392" w:firstLineChars="200"/>
        <w:textAlignment w:val="auto"/>
        <w:rPr>
          <w:rFonts w:ascii="宋体" w:hAnsi="宋体" w:cs="宋体"/>
          <w:sz w:val="20"/>
          <w:szCs w:val="20"/>
        </w:rPr>
      </w:pP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kinsoku/>
        <w:wordWrap/>
        <w:overflowPunct/>
        <w:topLinePunct w:val="0"/>
        <w:autoSpaceDE/>
        <w:autoSpaceDN/>
        <w:bidi w:val="0"/>
        <w:adjustRightInd/>
        <w:snapToGrid/>
        <w:spacing w:line="280" w:lineRule="exact"/>
        <w:ind w:left="0" w:leftChars="0" w:right="0" w:firstLine="5741" w:firstLineChars="2929"/>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kinsoku/>
        <w:wordWrap/>
        <w:overflowPunct/>
        <w:topLinePunct w:val="0"/>
        <w:autoSpaceDE/>
        <w:autoSpaceDN/>
        <w:bidi w:val="0"/>
        <w:adjustRightInd/>
        <w:snapToGrid/>
        <w:spacing w:line="280" w:lineRule="exact"/>
        <w:ind w:left="0" w:leftChars="0" w:right="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编制部门：镇安县交通运输局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917"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047"/>
        <w:gridCol w:w="1077"/>
        <w:gridCol w:w="1142"/>
        <w:gridCol w:w="1142"/>
        <w:gridCol w:w="1142"/>
        <w:gridCol w:w="1142"/>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2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jc w:val="left"/>
              <w:textAlignment w:val="auto"/>
              <w:rPr>
                <w:rFonts w:hint="eastAsia" w:ascii="宋体" w:hAnsi="宋体" w:eastAsia="宋体" w:cs="宋体"/>
                <w:bCs/>
                <w:sz w:val="20"/>
                <w:szCs w:val="20"/>
              </w:rPr>
            </w:pP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jc w:val="left"/>
              <w:textAlignment w:val="auto"/>
              <w:rPr>
                <w:rFonts w:hint="eastAsia" w:ascii="宋体" w:hAnsi="宋体" w:eastAsia="宋体" w:cs="宋体"/>
                <w:bCs/>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2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jc w:val="center"/>
              <w:textAlignment w:val="auto"/>
              <w:rPr>
                <w:rFonts w:hint="eastAsia" w:ascii="宋体" w:hAnsi="宋体" w:eastAsia="宋体" w:cs="宋体"/>
                <w:sz w:val="20"/>
                <w:szCs w:val="20"/>
              </w:rPr>
            </w:pPr>
          </w:p>
        </w:tc>
      </w:tr>
    </w:tbl>
    <w:p>
      <w:pPr>
        <w:keepNext w:val="0"/>
        <w:keepLines w:val="0"/>
        <w:pageBreakBefore w:val="0"/>
        <w:shd w:val="clear" w:color="auto" w:fill="FFFFFF"/>
        <w:kinsoku/>
        <w:wordWrap/>
        <w:overflowPunct/>
        <w:topLinePunct w:val="0"/>
        <w:autoSpaceDE/>
        <w:autoSpaceDN/>
        <w:bidi w:val="0"/>
        <w:adjustRightInd/>
        <w:snapToGrid/>
        <w:spacing w:line="280" w:lineRule="exact"/>
        <w:ind w:left="0" w:leftChars="0" w:right="0"/>
        <w:textAlignment w:val="auto"/>
        <w:rPr>
          <w:rFonts w:hint="eastAsia" w:ascii="宋体" w:hAnsi="宋体" w:eastAsia="宋体" w:cs="宋体"/>
          <w:sz w:val="20"/>
          <w:szCs w:val="20"/>
        </w:rPr>
      </w:pPr>
    </w:p>
    <w:p>
      <w:pPr>
        <w:keepNext w:val="0"/>
        <w:keepLines w:val="0"/>
        <w:pageBreakBefore w:val="0"/>
        <w:shd w:val="clear" w:color="auto" w:fill="FFFFFF"/>
        <w:kinsoku/>
        <w:wordWrap/>
        <w:overflowPunct/>
        <w:topLinePunct w:val="0"/>
        <w:autoSpaceDE/>
        <w:autoSpaceDN/>
        <w:bidi w:val="0"/>
        <w:adjustRightInd/>
        <w:snapToGrid/>
        <w:spacing w:line="280" w:lineRule="exact"/>
        <w:ind w:left="0" w:leftChars="0" w:right="0" w:firstLine="392" w:firstLineChars="20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keepNext w:val="0"/>
        <w:keepLines w:val="0"/>
        <w:pageBreakBefore w:val="0"/>
        <w:kinsoku/>
        <w:wordWrap/>
        <w:overflowPunct/>
        <w:topLinePunct w:val="0"/>
        <w:autoSpaceDE/>
        <w:autoSpaceDN/>
        <w:bidi w:val="0"/>
        <w:adjustRightInd/>
        <w:spacing w:line="240" w:lineRule="auto"/>
        <w:ind w:left="0" w:leftChars="0" w:right="0" w:firstLine="392" w:firstLineChars="200"/>
        <w:textAlignment w:val="auto"/>
        <w:rPr>
          <w:rFonts w:ascii="宋体" w:hAnsi="宋体" w:cs="宋体"/>
          <w:sz w:val="20"/>
          <w:szCs w:val="20"/>
        </w:rPr>
      </w:pPr>
      <w:r>
        <w:rPr>
          <w:rFonts w:hint="eastAsia" w:ascii="宋体" w:hAnsi="宋体" w:cs="宋体"/>
          <w:sz w:val="20"/>
          <w:szCs w:val="20"/>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textAlignment w:val="auto"/>
        <w:rPr>
          <w:rFonts w:ascii="黑体" w:hAnsi="黑体" w:eastAsia="黑体" w:cs="黑体"/>
          <w:sz w:val="30"/>
          <w:szCs w:val="30"/>
        </w:rPr>
      </w:pPr>
      <w:r>
        <w:rPr>
          <w:rFonts w:hint="eastAsia" w:ascii="黑体" w:hAnsi="黑体" w:eastAsia="黑体" w:cs="黑体"/>
          <w:sz w:val="30"/>
          <w:szCs w:val="30"/>
        </w:rPr>
        <w:t>一</w:t>
      </w:r>
      <w:r>
        <w:rPr>
          <w:rFonts w:ascii="黑体" w:hAnsi="黑体" w:eastAsia="黑体" w:cs="黑体"/>
          <w:sz w:val="30"/>
          <w:szCs w:val="30"/>
        </w:rPr>
        <w:t>、</w:t>
      </w:r>
      <w:r>
        <w:rPr>
          <w:rFonts w:hint="eastAsia" w:ascii="黑体" w:hAnsi="黑体" w:eastAsia="黑体" w:cs="黑体"/>
          <w:sz w:val="30"/>
          <w:szCs w:val="30"/>
        </w:rPr>
        <w:t>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444" w:firstLineChars="150"/>
        <w:textAlignment w:val="auto"/>
        <w:rPr>
          <w:rFonts w:ascii="仿宋_GB2312" w:hAnsi="仿宋_GB2312" w:cs="仿宋_GB2312"/>
          <w:sz w:val="30"/>
          <w:szCs w:val="30"/>
        </w:rPr>
      </w:pPr>
      <w:r>
        <w:rPr>
          <w:rFonts w:hint="eastAsia" w:ascii="仿宋_GB2312" w:hAnsi="仿宋_GB2312" w:cs="仿宋_GB2312"/>
          <w:sz w:val="30"/>
          <w:szCs w:val="30"/>
        </w:rPr>
        <w:t>2020年收入24796.84万元、支出总计23631.85万元，与2019年相比，收入增加4684.77万元、和2019年相比增加23.3%。2020年支出总计23631.85万元、增加3520万元，增加17.5%，增长的主要原因是：受新冠疫情影响，国家增加了抗疫国债项目，故增加。</w:t>
      </w:r>
    </w:p>
    <w:p>
      <w:pPr>
        <w:pStyle w:val="22"/>
        <w:keepNext w:val="0"/>
        <w:keepLines w:val="0"/>
        <w:pageBreakBefore w:val="0"/>
        <w:kinsoku/>
        <w:wordWrap/>
        <w:overflowPunct/>
        <w:topLinePunct w:val="0"/>
        <w:autoSpaceDE/>
        <w:autoSpaceDN/>
        <w:bidi w:val="0"/>
        <w:adjustRightInd/>
        <w:spacing w:line="240" w:lineRule="auto"/>
        <w:ind w:left="0" w:leftChars="0" w:right="0" w:firstLine="0" w:firstLineChars="0"/>
        <w:jc w:val="center"/>
        <w:textAlignment w:val="auto"/>
      </w:pPr>
      <w:r>
        <w:drawing>
          <wp:inline distT="0" distB="0" distL="114300" distR="114300">
            <wp:extent cx="3325495" cy="2743200"/>
            <wp:effectExtent l="4445" t="5080" r="22860" b="1397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22"/>
        <w:keepNext w:val="0"/>
        <w:keepLines w:val="0"/>
        <w:pageBreakBefore w:val="0"/>
        <w:kinsoku/>
        <w:wordWrap/>
        <w:overflowPunct/>
        <w:topLinePunct w:val="0"/>
        <w:autoSpaceDE/>
        <w:autoSpaceDN/>
        <w:bidi w:val="0"/>
        <w:adjustRightInd/>
        <w:spacing w:line="240" w:lineRule="auto"/>
        <w:ind w:left="0" w:leftChars="0" w:right="0" w:firstLine="0" w:firstLineChars="0"/>
        <w:jc w:val="center"/>
        <w:textAlignment w:val="auto"/>
      </w:pPr>
      <w:r>
        <w:drawing>
          <wp:inline distT="0" distB="0" distL="0" distR="0">
            <wp:extent cx="3286125" cy="2800350"/>
            <wp:effectExtent l="0" t="0" r="0" b="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黑体" w:hAnsi="黑体" w:eastAsia="黑体" w:cs="黑体"/>
          <w:sz w:val="30"/>
          <w:szCs w:val="30"/>
        </w:rPr>
      </w:pPr>
      <w:r>
        <w:rPr>
          <w:rFonts w:hint="eastAsia" w:ascii="黑体" w:hAnsi="黑体" w:eastAsia="黑体" w:cs="黑体"/>
          <w:sz w:val="30"/>
          <w:szCs w:val="30"/>
          <w:lang w:eastAsia="zh-CN"/>
        </w:rPr>
        <w:t>二、</w:t>
      </w:r>
      <w:r>
        <w:rPr>
          <w:rFonts w:hint="eastAsia" w:ascii="黑体" w:hAnsi="黑体" w:eastAsia="黑体" w:cs="黑体"/>
          <w:sz w:val="30"/>
          <w:szCs w:val="30"/>
        </w:rPr>
        <w:t>收入决算情况说明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2020年收入合计24796.84万元，其中：财政拨款收入24796.84万元，占总收入100%；事业收入0万元，占总收入0%；其他收入0万元，占总收入0%，</w:t>
      </w:r>
    </w:p>
    <w:p>
      <w:pPr>
        <w:pStyle w:val="22"/>
        <w:keepNext w:val="0"/>
        <w:keepLines w:val="0"/>
        <w:pageBreakBefore w:val="0"/>
        <w:kinsoku/>
        <w:wordWrap/>
        <w:overflowPunct/>
        <w:topLinePunct w:val="0"/>
        <w:autoSpaceDE/>
        <w:autoSpaceDN/>
        <w:bidi w:val="0"/>
        <w:adjustRightInd/>
        <w:spacing w:line="240" w:lineRule="auto"/>
        <w:ind w:left="44" w:leftChars="0" w:right="0" w:hanging="44" w:hangingChars="14"/>
        <w:jc w:val="center"/>
        <w:textAlignment w:val="auto"/>
        <w:rPr>
          <w:rFonts w:ascii="黑体" w:hAnsi="黑体" w:eastAsia="黑体" w:cs="黑体"/>
          <w:sz w:val="30"/>
          <w:szCs w:val="30"/>
        </w:rPr>
      </w:pPr>
      <w:r>
        <w:drawing>
          <wp:inline distT="0" distB="0" distL="0" distR="0">
            <wp:extent cx="5220335" cy="2981960"/>
            <wp:effectExtent l="4445" t="4445" r="13970" b="23495"/>
            <wp:docPr id="3" name="图片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支出决算情况说明</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pPr>
      <w:r>
        <w:rPr>
          <w:rFonts w:hint="eastAsia" w:ascii="仿宋_GB2312" w:hAnsi="仿宋_GB2312" w:cs="仿宋_GB2312"/>
          <w:sz w:val="30"/>
          <w:szCs w:val="30"/>
        </w:rPr>
        <w:t>2020年支出合计23631.54万元，其中：基本支出1270.05万元，占总支出5.37%，项目支出22361.49，占总支出94.63%。</w:t>
      </w:r>
    </w:p>
    <w:p>
      <w:pPr>
        <w:pStyle w:val="22"/>
        <w:keepNext w:val="0"/>
        <w:keepLines w:val="0"/>
        <w:pageBreakBefore w:val="0"/>
        <w:kinsoku/>
        <w:wordWrap/>
        <w:overflowPunct/>
        <w:topLinePunct w:val="0"/>
        <w:autoSpaceDE/>
        <w:autoSpaceDN/>
        <w:bidi w:val="0"/>
        <w:adjustRightInd/>
        <w:spacing w:line="240" w:lineRule="auto"/>
        <w:ind w:left="717" w:leftChars="0" w:right="0" w:hanging="717" w:hangingChars="227"/>
        <w:jc w:val="center"/>
        <w:textAlignment w:val="auto"/>
      </w:pPr>
      <w:r>
        <w:drawing>
          <wp:inline distT="0" distB="0" distL="0" distR="0">
            <wp:extent cx="5297170" cy="2414270"/>
            <wp:effectExtent l="4445" t="4445" r="13335" b="19685"/>
            <wp:docPr id="4" name="图片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黑体" w:hAnsi="黑体" w:eastAsia="黑体" w:cs="黑体"/>
          <w:sz w:val="30"/>
          <w:szCs w:val="30"/>
        </w:rPr>
      </w:pPr>
      <w:r>
        <w:rPr>
          <w:rFonts w:hint="eastAsia" w:ascii="黑体" w:hAnsi="黑体" w:eastAsia="黑体" w:cs="黑体"/>
          <w:sz w:val="30"/>
          <w:szCs w:val="30"/>
        </w:rPr>
        <w:t>四、</w:t>
      </w:r>
      <w:r>
        <w:rPr>
          <w:rFonts w:hint="eastAsia" w:ascii="黑体" w:hAnsi="黑体" w:eastAsia="黑体" w:cs="黑体"/>
          <w:sz w:val="30"/>
          <w:szCs w:val="30"/>
          <w:lang w:eastAsia="zh-CN"/>
        </w:rPr>
        <w:t>财政</w:t>
      </w:r>
      <w:r>
        <w:rPr>
          <w:rFonts w:hint="eastAsia" w:ascii="黑体" w:hAnsi="黑体" w:eastAsia="黑体" w:cs="黑体"/>
          <w:sz w:val="30"/>
          <w:szCs w:val="30"/>
        </w:rPr>
        <w:t>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2020年度财政拨款收入24796.84万元，与2019年度相比，财政拨款收入增加4684.99万元，增长23.3%，主要是国家增加了抗疫国债项目，故增长。支出总计23631.54万元，于2019年相比，支出总计增加3521.28万元，增长了17.5%，主要是国家增加了抗疫国债项目，故支出增长。</w:t>
      </w:r>
    </w:p>
    <w:p>
      <w:pPr>
        <w:keepNext w:val="0"/>
        <w:keepLines w:val="0"/>
        <w:pageBreakBefore w:val="0"/>
        <w:kinsoku/>
        <w:wordWrap/>
        <w:overflowPunct/>
        <w:topLinePunct w:val="0"/>
        <w:autoSpaceDE/>
        <w:autoSpaceDN/>
        <w:bidi w:val="0"/>
        <w:adjustRightInd/>
        <w:spacing w:line="240" w:lineRule="auto"/>
        <w:ind w:right="0"/>
        <w:jc w:val="center"/>
        <w:textAlignment w:val="auto"/>
        <w:rPr>
          <w:rFonts w:ascii="仿宋_GB2312" w:hAnsi="仿宋_GB2312" w:cs="仿宋_GB2312"/>
          <w:sz w:val="30"/>
          <w:szCs w:val="30"/>
        </w:rPr>
      </w:pPr>
      <w:r>
        <w:drawing>
          <wp:inline distT="0" distB="0" distL="114300" distR="114300">
            <wp:extent cx="5474970" cy="3294380"/>
            <wp:effectExtent l="4445" t="4445" r="6985" b="15875"/>
            <wp:docPr id="2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黑体" w:hAnsi="黑体" w:eastAsia="黑体" w:cs="黑体"/>
          <w:sz w:val="30"/>
          <w:szCs w:val="30"/>
        </w:rPr>
      </w:pPr>
      <w:r>
        <w:rPr>
          <w:rFonts w:hint="eastAsia" w:ascii="黑体" w:hAnsi="黑体" w:eastAsia="黑体" w:cs="黑体"/>
          <w:sz w:val="30"/>
          <w:szCs w:val="30"/>
        </w:rPr>
        <w:t>五、一般</w:t>
      </w:r>
      <w:r>
        <w:rPr>
          <w:rFonts w:hint="eastAsia" w:ascii="黑体" w:hAnsi="黑体" w:eastAsia="黑体" w:cs="黑体"/>
          <w:sz w:val="30"/>
          <w:szCs w:val="30"/>
          <w:lang w:eastAsia="zh-CN"/>
        </w:rPr>
        <w:t>公共</w:t>
      </w:r>
      <w:r>
        <w:rPr>
          <w:rFonts w:hint="eastAsia" w:ascii="黑体" w:hAnsi="黑体" w:eastAsia="黑体" w:cs="黑体"/>
          <w:sz w:val="30"/>
          <w:szCs w:val="30"/>
        </w:rPr>
        <w:t>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华文楷体" w:hAnsi="华文楷体" w:eastAsia="华文楷体" w:cs="楷体_GB2312"/>
          <w:bCs/>
          <w:sz w:val="30"/>
          <w:szCs w:val="30"/>
        </w:rPr>
      </w:pPr>
      <w:r>
        <w:rPr>
          <w:rFonts w:hint="eastAsia" w:ascii="仿宋_GB2312" w:hAnsi="仿宋_GB2312" w:cs="仿宋_GB2312"/>
          <w:sz w:val="30"/>
          <w:szCs w:val="30"/>
        </w:rPr>
        <w:t>2020年财政拨款支出18204.86万元，占本年支出合计的100%。与2019年相比，财政拨款支出减少1905.4万元，减少9.5%，主要原因是：财政增加了抗疫国债项目，相应减少了一般公共预算拨款支出。</w:t>
      </w:r>
    </w:p>
    <w:p>
      <w:pPr>
        <w:pStyle w:val="22"/>
        <w:keepNext w:val="0"/>
        <w:keepLines w:val="0"/>
        <w:pageBreakBefore w:val="0"/>
        <w:kinsoku/>
        <w:wordWrap/>
        <w:overflowPunct/>
        <w:topLinePunct w:val="0"/>
        <w:autoSpaceDE/>
        <w:autoSpaceDN/>
        <w:bidi w:val="0"/>
        <w:adjustRightInd/>
        <w:spacing w:line="240" w:lineRule="auto"/>
        <w:ind w:left="152" w:leftChars="0" w:right="0" w:hanging="152" w:hangingChars="48"/>
        <w:jc w:val="center"/>
        <w:textAlignment w:val="auto"/>
      </w:pPr>
      <w:r>
        <w:drawing>
          <wp:inline distT="0" distB="0" distL="0" distR="0">
            <wp:extent cx="5154930" cy="3674745"/>
            <wp:effectExtent l="4445" t="4445" r="22225" b="16510"/>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2020年财政拨款支出年初预算为1853.79万元，调整预算为一般预算拨款收入19369.84万元，政府性基金预算财政拨款收入5427万元，支出决算为一般预算拨款支出19369.84万元，支出决算政府性财政拨款支出5427万元，完成预算的95.3%。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1.一般公共服务支出（类）财政事务（款）行政运行（项）。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年初预算为138.74万元，调整预算为151.89万元，支出决算为151.89万元，完成预算的100%。决算数与预算数持平。持平的主要原因是：严格按照预算开支。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2.一般公共服务支出（类）财政事务（款）一般行政管理事务（项）。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年初预算为138.74万元，调整预算为151.89万元，支出决算为151.89万元，完成预算的100%，决算数于预算数持平，持平的主要原因是：严格按照预算开支。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黑体" w:hAnsi="黑体" w:eastAsia="黑体" w:cs="黑体"/>
          <w:sz w:val="30"/>
          <w:szCs w:val="30"/>
        </w:rPr>
      </w:pPr>
      <w:r>
        <w:rPr>
          <w:rFonts w:hint="eastAsia" w:ascii="黑体" w:hAnsi="黑体" w:eastAsia="黑体" w:cs="黑体"/>
          <w:sz w:val="30"/>
          <w:szCs w:val="30"/>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2020年一般公共预算财政拨款基本支出1270.05万元，包括：人员经费支出1112.17万元和公用经费支出157.88万元。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b/>
          <w:bCs/>
          <w:sz w:val="30"/>
          <w:szCs w:val="30"/>
        </w:rPr>
        <w:t>人员经费支出</w:t>
      </w:r>
      <w:r>
        <w:rPr>
          <w:rFonts w:hint="eastAsia" w:ascii="仿宋_GB2312" w:hAnsi="仿宋_GB2312" w:cs="仿宋_GB2312"/>
          <w:sz w:val="30"/>
          <w:szCs w:val="30"/>
        </w:rPr>
        <w:t>1112.17万元，主要包括基本工资486.525万元、津贴补贴91.78万元、奖金21.1万元、绩效工资272.96万元、机关事业单位基本保险养老缴费75.44万元、职业年金缴费27.59万元，其他社会保障缴费9.46万元，住房公积金63.39万元，遗属及退休人员生活补助8.04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b/>
          <w:bCs/>
          <w:sz w:val="30"/>
          <w:szCs w:val="30"/>
        </w:rPr>
        <w:t>公用经费支出</w:t>
      </w:r>
      <w:r>
        <w:rPr>
          <w:rFonts w:hint="eastAsia" w:ascii="仿宋_GB2312" w:hAnsi="仿宋_GB2312" w:cs="仿宋_GB2312"/>
          <w:sz w:val="30"/>
          <w:szCs w:val="30"/>
        </w:rPr>
        <w:t>157.88万元，主要包括办公费30.75万元、印刷费7.98万元、水费0.63万元、电费5.87万元、邮电费2.15万元、差旅费34.44万元、维修费6.71万元、租赁费4万元、会议费0.576万元、培训费1.47万元、公务接待费0.116万元、专用燃料费1.67万元、劳务费36.82万元、工会经费9.67万元、公务用车运行费2万元、其他交通费5.74万元、其他商品和服务支出7.27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黑体" w:hAnsi="黑体" w:eastAsia="黑体" w:cs="黑体"/>
          <w:sz w:val="30"/>
          <w:szCs w:val="30"/>
        </w:rPr>
      </w:pPr>
      <w:r>
        <w:rPr>
          <w:rFonts w:hint="eastAsia" w:ascii="黑体" w:hAnsi="黑体" w:eastAsia="黑体" w:cs="黑体"/>
          <w:sz w:val="30"/>
          <w:szCs w:val="30"/>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2020年“三公”经费财政拨款支出预算为2.18万元，支出决算为2.116万元，完成预算的97%。决算数较预算数减少0.064万元，主要原因是单位严格控制三公经费开支，执行中央八项规定，减少开支。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2020年“三公”经费财政拨款支出决算中，因公出国（境）费支出决算0万元，占“三公”经费总支出0%；公务用车购置费支出0万元，占“三公”经费总支出0%；公务用车运行维护费支出决算2万元，占“三公”经费总支出94.5%；公务接待费支出决算0.116万元，占“三公”经费总支出5.5%。具体情况如下：</w:t>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仿宋_GB2312" w:hAnsi="仿宋_GB2312" w:cs="仿宋_GB2312"/>
          <w:sz w:val="30"/>
          <w:szCs w:val="30"/>
        </w:rPr>
      </w:pPr>
      <w:r>
        <w:rPr>
          <w:rFonts w:hint="eastAsia" w:ascii="仿宋_GB2312" w:hAnsi="仿宋_GB2312" w:cs="仿宋_GB2312"/>
          <w:sz w:val="30"/>
          <w:szCs w:val="30"/>
        </w:rPr>
        <w:drawing>
          <wp:inline distT="0" distB="0" distL="114300" distR="114300">
            <wp:extent cx="5278120" cy="3079115"/>
            <wp:effectExtent l="4445" t="4445" r="13335" b="2159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b/>
          <w:bCs/>
          <w:sz w:val="30"/>
          <w:szCs w:val="30"/>
        </w:rPr>
      </w:pPr>
      <w:r>
        <w:rPr>
          <w:rFonts w:hint="eastAsia" w:ascii="仿宋_GB2312" w:hAnsi="仿宋_GB2312" w:cs="仿宋_GB2312"/>
          <w:b/>
          <w:bCs/>
          <w:sz w:val="30"/>
          <w:szCs w:val="30"/>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color w:val="000000" w:themeColor="text1"/>
          <w:sz w:val="30"/>
          <w:szCs w:val="30"/>
        </w:rPr>
      </w:pPr>
      <w:r>
        <w:rPr>
          <w:rFonts w:hint="eastAsia" w:ascii="仿宋_GB2312" w:hAnsi="仿宋_GB2312" w:cs="仿宋_GB2312"/>
          <w:sz w:val="30"/>
          <w:szCs w:val="30"/>
        </w:rPr>
        <w:t>2020年因公出国（境）团组0个，0人次，预算为0万元，支出决算为0万元，完成预算的0%，</w:t>
      </w:r>
      <w:r>
        <w:rPr>
          <w:rFonts w:hint="eastAsia" w:ascii="仿宋_GB2312" w:hAnsi="仿宋_GB2312" w:cs="仿宋_GB2312"/>
          <w:color w:val="000000" w:themeColor="text1"/>
          <w:sz w:val="30"/>
          <w:szCs w:val="30"/>
        </w:rPr>
        <w:t>决算数较预算数持平，持平的原因是严格按照预算执行。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b/>
          <w:bCs/>
          <w:color w:val="000000" w:themeColor="text1"/>
          <w:sz w:val="30"/>
          <w:szCs w:val="30"/>
        </w:rPr>
      </w:pPr>
      <w:r>
        <w:rPr>
          <w:rFonts w:hint="eastAsia" w:ascii="仿宋_GB2312" w:hAnsi="仿宋_GB2312" w:cs="仿宋_GB2312"/>
          <w:b/>
          <w:bCs/>
          <w:color w:val="000000" w:themeColor="text1"/>
          <w:sz w:val="30"/>
          <w:szCs w:val="30"/>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color w:val="000000" w:themeColor="text1"/>
          <w:sz w:val="30"/>
          <w:szCs w:val="30"/>
        </w:rPr>
      </w:pPr>
      <w:r>
        <w:rPr>
          <w:rFonts w:hint="eastAsia" w:ascii="仿宋_GB2312" w:hAnsi="仿宋_GB2312" w:cs="仿宋_GB2312"/>
          <w:color w:val="000000" w:themeColor="text1"/>
          <w:sz w:val="30"/>
          <w:szCs w:val="30"/>
        </w:rPr>
        <w:t>2020年购置车辆0台，预算为0万元，支出决算为0万元，完成预算的0%，决算数较预算数持平，持平的原因是严格按照预算执行。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b/>
          <w:bCs/>
          <w:sz w:val="30"/>
          <w:szCs w:val="30"/>
        </w:rPr>
      </w:pPr>
      <w:r>
        <w:rPr>
          <w:rFonts w:hint="eastAsia" w:ascii="仿宋_GB2312" w:hAnsi="仿宋_GB2312" w:cs="仿宋_GB2312"/>
          <w:b/>
          <w:bCs/>
          <w:sz w:val="30"/>
          <w:szCs w:val="30"/>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2020年公务用车运行维护费预算为2万元，支出决算为2万元，完成预算的100%，决算数较预算数持平，持平的原因是严格按照预算执行。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b/>
          <w:bCs/>
          <w:sz w:val="30"/>
          <w:szCs w:val="30"/>
        </w:rPr>
      </w:pPr>
      <w:r>
        <w:rPr>
          <w:rFonts w:hint="eastAsia" w:ascii="仿宋_GB2312" w:hAnsi="仿宋_GB2312" w:cs="仿宋_GB2312"/>
          <w:b/>
          <w:bCs/>
          <w:sz w:val="30"/>
          <w:szCs w:val="30"/>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2020年公务接待4批次，31人次，预算为0.18万元，支出决算为0.116万元，完成预算的64%，决算数较预算数减少0.064万元，主要原因是单位严格控制三公经费开支，执行中央八项规定，减少开支。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2020年培训费预算为0.5万元，支出决算为0.12万元，完成预算的24%，决算数较预算数减少0.38万元，主要原因是按照中央八项规定，严格控制培训费开支，节约费用，减少开支。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2020年会议费预算为0.2万元，支出决算为0.1万元，完成预算的50%，决算数较预算数减少0.05万元，主要原因是严格会费支出，对可开可不开会议尽量少开，减少了会议费支出。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黑体" w:hAnsi="黑体" w:eastAsia="黑体" w:cs="黑体"/>
          <w:sz w:val="30"/>
          <w:szCs w:val="30"/>
        </w:rPr>
      </w:pPr>
      <w:r>
        <w:rPr>
          <w:rFonts w:hint="eastAsia" w:ascii="黑体" w:hAnsi="黑体" w:eastAsia="黑体" w:cs="黑体"/>
          <w:sz w:val="30"/>
          <w:szCs w:val="30"/>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本年政府性基金预算5427万元，支出5427万元，是国家安排的特别抗疫国债交通基础实施建设，主要项目是国道345木王林场至栗扎公路和省道冷安公路建设，2019年无政府性基金，无可比。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黑体" w:hAnsi="黑体" w:eastAsia="黑体" w:cs="黑体"/>
          <w:sz w:val="30"/>
          <w:szCs w:val="30"/>
        </w:rPr>
      </w:pPr>
      <w:r>
        <w:rPr>
          <w:rFonts w:hint="eastAsia" w:ascii="黑体" w:hAnsi="黑体" w:eastAsia="黑体" w:cs="黑体"/>
          <w:sz w:val="30"/>
          <w:szCs w:val="30"/>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本部门无国有资本经营决算拨款收支。已公开空表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黑体" w:hAnsi="黑体" w:eastAsia="黑体" w:cs="黑体"/>
          <w:sz w:val="30"/>
          <w:szCs w:val="30"/>
        </w:rPr>
      </w:pPr>
      <w:r>
        <w:rPr>
          <w:rFonts w:hint="eastAsia" w:ascii="黑体" w:hAnsi="黑体" w:eastAsia="黑体" w:cs="黑体"/>
          <w:sz w:val="30"/>
          <w:szCs w:val="30"/>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根据预算绩效管理要求，本部门组织对2020年一般公共预算项目支出全面开展绩效自评，其中，一级项目2个，二级项目7个，共涉及资金22361.8万元，占一般公共预算项目支出总额的100%。本年度政府性基金预算项目1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我局在2020年度部门决算中反映的农村公路养护，农村公路设施建设、桥涵、国省干线、产业公路、公交车补助等共2个一级项目绩效自评结果及7个二级绩效自评表。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交通基础设施公路建设项目绩效自评综述：根据年初设定的绩效目标，项目自评得分86分。项目全年预算数22879万元，执行数21713.8万元，完成预算的95%。主要产出和效果：按计划完成G345国道木王林场至栗扎公路建设；完成省道冷安公路建设任务；完成县乡公路沙柴公路年度计划任务；是完成2020年通组产业公路建设任务等，；公路建设按计划完成。；对出租车的补贴。</w:t>
      </w:r>
      <w:r>
        <w:rPr>
          <w:rFonts w:ascii="仿宋_GB2312" w:hAnsi="仿宋_GB2312" w:cs="仿宋_GB2312"/>
          <w:sz w:val="30"/>
          <w:szCs w:val="30"/>
        </w:rPr>
        <w:t>7</w:t>
      </w:r>
      <w:r>
        <w:rPr>
          <w:rFonts w:hint="eastAsia" w:ascii="仿宋_GB2312" w:hAnsi="仿宋_GB2312" w:cs="仿宋_GB2312"/>
          <w:sz w:val="30"/>
          <w:szCs w:val="30"/>
        </w:rPr>
        <w:t>对通村客运车辆的燃油价格改革补贴。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92" w:firstLineChars="200"/>
        <w:jc w:val="both"/>
        <w:textAlignment w:val="auto"/>
        <w:rPr>
          <w:rFonts w:ascii="仿宋_GB2312" w:hAnsi="仿宋_GB2312" w:cs="仿宋_GB2312"/>
          <w:sz w:val="30"/>
          <w:szCs w:val="30"/>
        </w:rPr>
      </w:pPr>
      <w:r>
        <w:rPr>
          <w:rFonts w:hint="eastAsia" w:ascii="仿宋_GB2312" w:hAnsi="仿宋_GB2312" w:cs="仿宋_GB2312"/>
          <w:sz w:val="30"/>
          <w:szCs w:val="30"/>
        </w:rPr>
        <w:t>2.公路养护建设项目绩效自评综述：根据年初设定的绩效目标，项目自评得分89分。项目全年预算数648万元，执行数648万元，完成预算的100%。主要产出和效果是：、完成县乡道1057公里公路的日常养护，县乡道列养率100%；村道由镇村列养，养护率为96%以上，达到了安全出行的基本条件；存在有个别乡镇村道管护不到位的现象，乡镇政府应加强监督监管责任，力争养护率达到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32" w:firstLineChars="200"/>
        <w:jc w:val="both"/>
        <w:textAlignment w:val="auto"/>
        <w:rPr>
          <w:rFonts w:ascii="仿宋_GB2312" w:hAnsi="仿宋_GB2312" w:cs="仿宋_GB231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（2020年度）</w:t>
      </w:r>
    </w:p>
    <w:tbl>
      <w:tblPr>
        <w:tblStyle w:val="9"/>
        <w:tblW w:w="8859"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642"/>
        <w:gridCol w:w="1179"/>
        <w:gridCol w:w="2"/>
        <w:gridCol w:w="723"/>
        <w:gridCol w:w="1769"/>
        <w:gridCol w:w="366"/>
        <w:gridCol w:w="843"/>
        <w:gridCol w:w="179"/>
        <w:gridCol w:w="765"/>
        <w:gridCol w:w="506"/>
        <w:gridCol w:w="1"/>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专项（项目）</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名称</w:t>
            </w:r>
          </w:p>
        </w:tc>
        <w:tc>
          <w:tcPr>
            <w:tcW w:w="7512"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城乡客运环保节能项目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县级主管</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部门</w:t>
            </w:r>
          </w:p>
        </w:tc>
        <w:tc>
          <w:tcPr>
            <w:tcW w:w="36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镇安县交通运输局</w:t>
            </w:r>
          </w:p>
        </w:tc>
        <w:tc>
          <w:tcPr>
            <w:tcW w:w="12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实施单位</w:t>
            </w:r>
          </w:p>
        </w:tc>
        <w:tc>
          <w:tcPr>
            <w:tcW w:w="263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镇安县城市客运公司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7"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项目资金</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（万元）</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全年预算数（A）</w:t>
            </w:r>
          </w:p>
        </w:tc>
        <w:tc>
          <w:tcPr>
            <w:tcW w:w="215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全年执行数（B）</w:t>
            </w:r>
          </w:p>
        </w:tc>
        <w:tc>
          <w:tcPr>
            <w:tcW w:w="168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年度资金总额：</w:t>
            </w: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187.1</w:t>
            </w:r>
          </w:p>
        </w:tc>
        <w:tc>
          <w:tcPr>
            <w:tcW w:w="215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187.1</w:t>
            </w:r>
          </w:p>
        </w:tc>
        <w:tc>
          <w:tcPr>
            <w:tcW w:w="168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其中：省级财政资</w:t>
            </w: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187.1</w:t>
            </w:r>
          </w:p>
        </w:tc>
        <w:tc>
          <w:tcPr>
            <w:tcW w:w="215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187.1</w:t>
            </w:r>
          </w:p>
        </w:tc>
        <w:tc>
          <w:tcPr>
            <w:tcW w:w="168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市县财政资</w:t>
            </w: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15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68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4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其他资金</w:t>
            </w:r>
          </w:p>
        </w:tc>
        <w:tc>
          <w:tcPr>
            <w:tcW w:w="1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15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68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0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总体</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目标</w:t>
            </w:r>
          </w:p>
        </w:tc>
        <w:tc>
          <w:tcPr>
            <w:tcW w:w="468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年初设定目标</w:t>
            </w:r>
          </w:p>
        </w:tc>
        <w:tc>
          <w:tcPr>
            <w:tcW w:w="347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468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完成新能源汽车更新，符合环保要求，达到0排放。</w:t>
            </w:r>
          </w:p>
        </w:tc>
        <w:tc>
          <w:tcPr>
            <w:tcW w:w="347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更新车辆12台，节能减排。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70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绩</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标</w:t>
            </w:r>
          </w:p>
        </w:tc>
        <w:tc>
          <w:tcPr>
            <w:tcW w:w="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一级</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1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二级指标</w:t>
            </w:r>
          </w:p>
        </w:tc>
        <w:tc>
          <w:tcPr>
            <w:tcW w:w="24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三级指标</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年度指标值</w:t>
            </w:r>
          </w:p>
        </w:tc>
        <w:tc>
          <w:tcPr>
            <w:tcW w:w="12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全年完成值</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6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产出</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17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数量指标</w:t>
            </w:r>
          </w:p>
        </w:tc>
        <w:tc>
          <w:tcPr>
            <w:tcW w:w="24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购置新能源公交汽车12辆</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4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5辆新能源公交201712月运营补贴</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4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一、 2020年度前建设新能源汽车充电桩32个,二、5辆新能源汽车2018年运营</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32</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32</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质量指标</w:t>
            </w:r>
          </w:p>
        </w:tc>
        <w:tc>
          <w:tcPr>
            <w:tcW w:w="24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符合铁腕治霾节能减排</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29</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29</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6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17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社会效益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4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经济发展</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促进</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4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4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满意度指标</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服务对象满意度指标</w:t>
            </w:r>
          </w:p>
        </w:tc>
        <w:tc>
          <w:tcPr>
            <w:tcW w:w="24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群众满意度</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85%以上</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95%</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说明</w:t>
            </w:r>
          </w:p>
        </w:tc>
        <w:tc>
          <w:tcPr>
            <w:tcW w:w="8154"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请在此处简要说明各级审计和财政监督检查中发现的问题及所涉及的金额，如没有请填无。</w:t>
            </w:r>
          </w:p>
        </w:tc>
      </w:tr>
    </w:tbl>
    <w:p>
      <w:pPr>
        <w:keepNext w:val="0"/>
        <w:keepLines w:val="0"/>
        <w:pageBreakBefore w:val="0"/>
        <w:kinsoku/>
        <w:wordWrap/>
        <w:overflowPunct/>
        <w:topLinePunct w:val="0"/>
        <w:autoSpaceDE/>
        <w:autoSpaceDN/>
        <w:bidi w:val="0"/>
        <w:adjustRightInd/>
        <w:snapToGrid/>
        <w:spacing w:line="280" w:lineRule="exact"/>
        <w:ind w:right="0"/>
        <w:textAlignment w:val="auto"/>
        <w:rPr>
          <w:rFonts w:hint="eastAsia" w:ascii="宋体" w:hAnsi="宋体" w:eastAsia="宋体" w:cs="宋体"/>
          <w:sz w:val="20"/>
          <w:szCs w:val="20"/>
        </w:rPr>
      </w:pPr>
      <w:r>
        <w:rPr>
          <w:rFonts w:hint="eastAsia" w:ascii="宋体" w:hAnsi="宋体" w:eastAsia="宋体" w:cs="宋体"/>
          <w:sz w:val="20"/>
          <w:szCs w:val="20"/>
        </w:rPr>
        <w:t>注：1.其他资金包括和财政资金共同投入到同一项目的自有资金、社会资金，以及前年度的结转结余资金等。</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2.定量指标，资金使用单位填写本地区实际完成数。财政和主管部门汇总时，对绝对值直接累加计算，相对值按照资金额度加权平均计算。</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3.定性指标根据指标完成情况分为：全部或基本达成预期指标、部分达成预期指标并具有一定效果、未达成预期指标 效果较差三档，分别按照100%—80%（含）、80%-60%（含）、60-0%合理填写完成比例。</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（2020年度）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bl>
      <w:tblPr>
        <w:tblStyle w:val="9"/>
        <w:tblW w:w="925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768"/>
        <w:gridCol w:w="13"/>
        <w:gridCol w:w="1200"/>
        <w:gridCol w:w="726"/>
        <w:gridCol w:w="1551"/>
        <w:gridCol w:w="388"/>
        <w:gridCol w:w="723"/>
        <w:gridCol w:w="572"/>
        <w:gridCol w:w="389"/>
        <w:gridCol w:w="761"/>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34"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专项（项目）名称</w:t>
            </w:r>
          </w:p>
        </w:tc>
        <w:tc>
          <w:tcPr>
            <w:tcW w:w="7522" w:type="dxa"/>
            <w:gridSpan w:val="10"/>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农村道路项目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right"/>
        </w:trPr>
        <w:tc>
          <w:tcPr>
            <w:tcW w:w="1734"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县级主管部门</w:t>
            </w:r>
          </w:p>
        </w:tc>
        <w:tc>
          <w:tcPr>
            <w:tcW w:w="3490"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镇安县交通运输局</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实施单位</w:t>
            </w:r>
          </w:p>
        </w:tc>
        <w:tc>
          <w:tcPr>
            <w:tcW w:w="29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镇安县通村通组公路管理处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3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项目资金（万元）</w:t>
            </w:r>
          </w:p>
        </w:tc>
        <w:tc>
          <w:tcPr>
            <w:tcW w:w="1939"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全年预算数（A）</w:t>
            </w: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全年执行数（B）</w:t>
            </w:r>
          </w:p>
        </w:tc>
        <w:tc>
          <w:tcPr>
            <w:tcW w:w="19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 w:hRule="atLeast"/>
          <w:jc w:val="right"/>
        </w:trPr>
        <w:tc>
          <w:tcPr>
            <w:tcW w:w="173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939"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年度资金总额：</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2072"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196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3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939"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其中：省级财政资</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2072"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196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3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939"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市县财政资</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2072"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96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73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939"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其他资金</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2072"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96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right"/>
        </w:trPr>
        <w:tc>
          <w:tcPr>
            <w:tcW w:w="9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总体</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目标</w:t>
            </w:r>
          </w:p>
        </w:tc>
        <w:tc>
          <w:tcPr>
            <w:tcW w:w="464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年初设定目标</w:t>
            </w:r>
          </w:p>
        </w:tc>
        <w:tc>
          <w:tcPr>
            <w:tcW w:w="364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4646"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完成金钟产业公路</w:t>
            </w:r>
          </w:p>
        </w:tc>
        <w:tc>
          <w:tcPr>
            <w:tcW w:w="3644"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已完成产业公路3.5公里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right"/>
        </w:trPr>
        <w:tc>
          <w:tcPr>
            <w:tcW w:w="9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绩</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标</w:t>
            </w:r>
          </w:p>
        </w:tc>
        <w:tc>
          <w:tcPr>
            <w:tcW w:w="7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一级</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二级指标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三级指标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年度指标值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产出</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数量</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 产业公路里程</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right"/>
              <w:textAlignment w:val="auto"/>
              <w:rPr>
                <w:rFonts w:hint="eastAsia" w:ascii="宋体" w:hAnsi="宋体" w:eastAsia="宋体" w:cs="宋体"/>
                <w:sz w:val="20"/>
                <w:szCs w:val="20"/>
              </w:rPr>
            </w:pPr>
            <w:r>
              <w:rPr>
                <w:rFonts w:hint="eastAsia" w:ascii="宋体" w:hAnsi="宋体" w:eastAsia="宋体" w:cs="宋体"/>
                <w:sz w:val="20"/>
                <w:szCs w:val="20"/>
              </w:rPr>
              <w:t>3.5</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3.5</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right"/>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right"/>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质量</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 产业公路质量</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合格</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≧95%</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≧98%</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≧98%</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时效指标</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 当年</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12月底前完</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成本指标</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 计划控制成本（万元）</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150</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社会效益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 经济发展</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 xml:space="preserve"> 促进</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可持续影</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 产业发展</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满意度指标</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服务对象</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  群众满意度</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≧85%</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98%</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说明</w:t>
            </w:r>
          </w:p>
        </w:tc>
        <w:tc>
          <w:tcPr>
            <w:tcW w:w="829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请在此处简要说明各级审计和财政监督检查中发现的问题及所涉及的金额，如没有请填无。</w:t>
            </w:r>
          </w:p>
        </w:tc>
      </w:tr>
    </w:tbl>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注：1.其他资金包括和财政资金共同投入到同一项目的自有资金、社会资金，以及前年度的结转结余资金等。</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2.定量指标，资金使用单位填写本地区实际完成数。财政和主管部门汇总时，对绝对值直接累加计算，相对值按照资金额度加权平均计算。</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3.定性指标根据指标完成情况分为：全部或基本达成预期指标、部分达成预期指标并具有一定效果、未达成预期指标 效果较差三档，分别按照100%—80%（含）、80%-60%（含）、60-0%合理填写完成比例。</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（2020年度）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bl>
      <w:tblPr>
        <w:tblStyle w:val="9"/>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781"/>
        <w:gridCol w:w="153"/>
        <w:gridCol w:w="1047"/>
        <w:gridCol w:w="892"/>
        <w:gridCol w:w="1551"/>
        <w:gridCol w:w="222"/>
        <w:gridCol w:w="889"/>
        <w:gridCol w:w="406"/>
        <w:gridCol w:w="555"/>
        <w:gridCol w:w="595"/>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专项（项目）名称</w:t>
            </w:r>
          </w:p>
        </w:tc>
        <w:tc>
          <w:tcPr>
            <w:tcW w:w="735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公路养护项目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7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县级主管部门</w:t>
            </w:r>
          </w:p>
        </w:tc>
        <w:tc>
          <w:tcPr>
            <w:tcW w:w="34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镇安县交通运输局</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实施单位</w:t>
            </w:r>
          </w:p>
        </w:tc>
        <w:tc>
          <w:tcPr>
            <w:tcW w:w="275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镇安县农村公路管理局、镇安县隧道管理所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项目资金（万元）</w:t>
            </w: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全年预算数（A）</w:t>
            </w: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全年执行数（B）</w:t>
            </w:r>
          </w:p>
        </w:tc>
        <w:tc>
          <w:tcPr>
            <w:tcW w:w="17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年度资金总额：</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648</w:t>
            </w: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648</w:t>
            </w:r>
          </w:p>
        </w:tc>
        <w:tc>
          <w:tcPr>
            <w:tcW w:w="17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其中：省级财政资</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648</w:t>
            </w: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648</w:t>
            </w:r>
          </w:p>
        </w:tc>
        <w:tc>
          <w:tcPr>
            <w:tcW w:w="17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市县财政资</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7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其他资金</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7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总体</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目标</w:t>
            </w:r>
          </w:p>
        </w:tc>
        <w:tc>
          <w:tcPr>
            <w:tcW w:w="464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年初设定目标</w:t>
            </w:r>
          </w:p>
        </w:tc>
        <w:tc>
          <w:tcPr>
            <w:tcW w:w="364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464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1、农管局完成全县乡公路997公里公里养护等任务，2、隧道所完成60公路隧道及公路养护</w:t>
            </w:r>
          </w:p>
        </w:tc>
        <w:tc>
          <w:tcPr>
            <w:tcW w:w="364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全年完成所列养公路养护任务。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绩</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标</w:t>
            </w: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一级</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二级指标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三级指标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年度指标值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产出</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数量</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指标1：农管局完成公路里程</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997</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997</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指标2：隧道所完成公路里程</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指标3：</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质量</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指标1：公里养护公路质量</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合格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指标3：</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≧95%</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指标4：</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≧98%</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指标5：</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≧98%</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时效指标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指标1：当年</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12月底前完</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指标3：</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成本指标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指标1：计划控制成本（万元）</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648</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648</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社会效益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指标1：经济发展</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促进</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可持续影</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指标1：产业发展</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服务对象</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指标1：群众满意度</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≧85%</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≧90%</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说明</w:t>
            </w:r>
          </w:p>
        </w:tc>
        <w:tc>
          <w:tcPr>
            <w:tcW w:w="829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请在此处简要说明各级审计和财政监督检查中发现的问题及所涉及的金额，如没有请填无。</w:t>
            </w:r>
          </w:p>
        </w:tc>
      </w:tr>
    </w:tbl>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注：1.其他资金包括和财政资金共同投入到同一项目的自有资金、社会资金，以及前年度的结转结余资金等。</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2.定量指标，资金使用单位填写本地区实际完成数。财政和主管部门汇总时，对绝对值直接累加计算，相对值按照资金额度加权平均计算。</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3.定性指标根据指标完成情况分为：全部或基本达成预期指标、部分达成预期指标并具有一定效果、未达成预期指标 效果较差三档，分别按照100%—80%（含）、80%-60%（含）、60-0%合理填写完成比例。</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（2020年度）</w:t>
      </w:r>
    </w:p>
    <w:tbl>
      <w:tblPr>
        <w:tblStyle w:val="9"/>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781"/>
        <w:gridCol w:w="190"/>
        <w:gridCol w:w="1010"/>
        <w:gridCol w:w="929"/>
        <w:gridCol w:w="1551"/>
        <w:gridCol w:w="185"/>
        <w:gridCol w:w="926"/>
        <w:gridCol w:w="369"/>
        <w:gridCol w:w="592"/>
        <w:gridCol w:w="55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专项（项目）名称</w:t>
            </w:r>
          </w:p>
        </w:tc>
        <w:tc>
          <w:tcPr>
            <w:tcW w:w="7742"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农村道路项目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7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县级主管部门</w:t>
            </w:r>
          </w:p>
        </w:tc>
        <w:tc>
          <w:tcPr>
            <w:tcW w:w="34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镇安县交通运输局</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实施单位</w:t>
            </w:r>
          </w:p>
        </w:tc>
        <w:tc>
          <w:tcPr>
            <w:tcW w:w="314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镇安县通村通组公路管理处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项目资金（万元）</w:t>
            </w: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全年预算数（A）</w:t>
            </w: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全年执行数（B）</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年度资金总额：</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7275</w:t>
            </w: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6109</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其中：省级财政资</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7275</w:t>
            </w: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6109</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市县财政资</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其他资金</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总体</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目标</w:t>
            </w:r>
          </w:p>
        </w:tc>
        <w:tc>
          <w:tcPr>
            <w:tcW w:w="464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年初设定目标</w:t>
            </w:r>
          </w:p>
        </w:tc>
        <w:tc>
          <w:tcPr>
            <w:tcW w:w="406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464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完成金钟产业公路</w:t>
            </w:r>
          </w:p>
        </w:tc>
        <w:tc>
          <w:tcPr>
            <w:tcW w:w="406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完成计划的84%。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绩</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标</w:t>
            </w: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一级</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二级指标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三级指标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年度指标值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完成值</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产出</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数量</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指标1：新建公路数产业公路</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指标2：新建公路沙柴公路</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指标3：新建公路冷安公路</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指标4：新建桥涵</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指标5：新建公路国道345庙坡隧道及引线、铁厂至界河公路</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在建</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工程3年完工，目前正加紧施工。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质量</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指标1：公路质量</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合格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符合要求</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指标2：桥涵质量</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合格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符合</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时效指标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指标1：当年</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12月底前完</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指标2：新建国道</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3年完成</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当年计划完成</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指标3：</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成本指标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指标1：计划控制成本（万元）</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7275</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6109</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国道项目属在建、项目工期3年，按计划实施。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社会效益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指标1：经济发展</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促进</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可持续影</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指标1：建设完成对经济发展</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服务对象</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指标1：群众满意度</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≧85%</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90%以上</w:t>
            </w:r>
          </w:p>
        </w:tc>
        <w:tc>
          <w:tcPr>
            <w:tcW w:w="16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说明</w:t>
            </w:r>
          </w:p>
        </w:tc>
        <w:tc>
          <w:tcPr>
            <w:tcW w:w="8713"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请在此处简要说明各级审计和财政监督检查中发现的问题及所涉及的金额，如没有请填无。</w:t>
            </w:r>
          </w:p>
        </w:tc>
      </w:tr>
    </w:tbl>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注：1.其他资金包括和财政资金共同投入到同一项目的自有资金、社会资金，以及前年度的结转结余资金等。</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2.定量指标，资金使用单位填写本地区实际完成数。财政和主管部门汇总时，对绝对值直接累加计算，相对值按照资金额度加权平均计算。</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3.定性指标根据指标完成情况分为：全部或基本达成预期指标、部分达成预期指标并具有一定效果、未达成预期指标 效果较差三档，分别按照100%—80%（含）、80%-60%（含）、60-0%合理填写完成比例。</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（2020年度）</w:t>
      </w:r>
    </w:p>
    <w:tbl>
      <w:tblPr>
        <w:tblStyle w:val="9"/>
        <w:tblpPr w:leftFromText="180" w:rightFromText="180" w:vertAnchor="text" w:horzAnchor="page" w:tblpXSpec="center" w:tblpY="277"/>
        <w:tblOverlap w:val="never"/>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771"/>
        <w:gridCol w:w="186"/>
        <w:gridCol w:w="1000"/>
        <w:gridCol w:w="917"/>
        <w:gridCol w:w="1535"/>
        <w:gridCol w:w="186"/>
        <w:gridCol w:w="911"/>
        <w:gridCol w:w="369"/>
        <w:gridCol w:w="582"/>
        <w:gridCol w:w="554"/>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专项（项目）名称</w:t>
            </w:r>
          </w:p>
        </w:tc>
        <w:tc>
          <w:tcPr>
            <w:tcW w:w="724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农村道路项目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7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县级主管部门</w:t>
            </w:r>
          </w:p>
        </w:tc>
        <w:tc>
          <w:tcPr>
            <w:tcW w:w="34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镇安县交通运输局</w:t>
            </w:r>
          </w:p>
        </w:tc>
        <w:tc>
          <w:tcPr>
            <w:tcW w:w="10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实施单位</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镇安县沙柴公路改建项目管理处、镇安县冷水河至山阳界公路建设管理处镇安县通村通组公路管理处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15"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项目资金（万元）</w:t>
            </w:r>
          </w:p>
        </w:tc>
        <w:tc>
          <w:tcPr>
            <w:tcW w:w="19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全年预算数（A）</w:t>
            </w:r>
          </w:p>
        </w:tc>
        <w:tc>
          <w:tcPr>
            <w:tcW w:w="20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全年执行数（B）</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71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年度资金总额：</w:t>
            </w:r>
          </w:p>
        </w:tc>
        <w:tc>
          <w:tcPr>
            <w:tcW w:w="1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5307</w:t>
            </w:r>
          </w:p>
        </w:tc>
        <w:tc>
          <w:tcPr>
            <w:tcW w:w="20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5307</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1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其中：省级财政资</w:t>
            </w:r>
          </w:p>
        </w:tc>
        <w:tc>
          <w:tcPr>
            <w:tcW w:w="1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5307</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1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市县财政资</w:t>
            </w:r>
          </w:p>
        </w:tc>
        <w:tc>
          <w:tcPr>
            <w:tcW w:w="1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1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其他资金</w:t>
            </w:r>
          </w:p>
        </w:tc>
        <w:tc>
          <w:tcPr>
            <w:tcW w:w="1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总体</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目标</w:t>
            </w:r>
          </w:p>
        </w:tc>
        <w:tc>
          <w:tcPr>
            <w:tcW w:w="459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年初设定目标</w:t>
            </w:r>
          </w:p>
        </w:tc>
        <w:tc>
          <w:tcPr>
            <w:tcW w:w="360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459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1、完成沙柴公路建设任务。2、省道冷安公路。3、2020年农村公路安保项目</w:t>
            </w:r>
          </w:p>
        </w:tc>
        <w:tc>
          <w:tcPr>
            <w:tcW w:w="360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绩</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标</w:t>
            </w: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一级</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1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二级指标</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三级指标</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年度指标值</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全年完成值</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产出</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数量</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指标1：沙柴公路一期建设</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指标2：省道冷安公路</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指标3：2020年农村公路安保</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质量</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指标1：公路质量</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合格</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时效指标</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指标1：当年</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12月底前完</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成本指标</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指标1：计划控制成本（万元）</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5307</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5307</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18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社会效益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指标1：经济发展</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促进</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可持续影</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指标1：产业发展</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满意度指标</w:t>
            </w:r>
          </w:p>
        </w:tc>
        <w:tc>
          <w:tcPr>
            <w:tcW w:w="11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服务对象</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指标1：群众满意度</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≧85%</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92%</w:t>
            </w: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说明</w:t>
            </w:r>
          </w:p>
        </w:tc>
        <w:tc>
          <w:tcPr>
            <w:tcW w:w="8201"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请在此处简要说明各级审计和财政监督检查中发现的问题及所涉及的金额，如没有请填无。</w:t>
            </w:r>
          </w:p>
        </w:tc>
      </w:tr>
    </w:tbl>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注：1.其他资金包括和财政资金共同投入到同一项目的自有资金、社会资金，以及前年度的结转结余资金等。</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2.定量指标，资金使用单位填写本地区实际完成数。财政和主管部门汇总时，对绝对值直接累加计算，相对值按照资金额度加权平均计算。</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t>3.定性指标根据指标完成情况分为：全部或基本达成预期指标、部分达成预期指标并具有一定效果、未达成预期指标 效果较差三档，分别按照100%—80%（含）、80%-60%（含）、60-0%合理填写完成比例。</w:t>
      </w:r>
      <w:r>
        <w:rPr>
          <w:rFonts w:hint="eastAsia" w:ascii="方正小标宋简体" w:hAnsi="方正小标宋简体" w:eastAsia="方正小标宋简体" w:cs="方正小标宋简体"/>
          <w:sz w:val="36"/>
          <w:szCs w:val="36"/>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（2020年度）</w:t>
      </w:r>
    </w:p>
    <w:tbl>
      <w:tblPr>
        <w:tblStyle w:val="9"/>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781"/>
        <w:gridCol w:w="191"/>
        <w:gridCol w:w="1009"/>
        <w:gridCol w:w="930"/>
        <w:gridCol w:w="1553"/>
        <w:gridCol w:w="185"/>
        <w:gridCol w:w="926"/>
        <w:gridCol w:w="369"/>
        <w:gridCol w:w="593"/>
        <w:gridCol w:w="557"/>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7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专项（项目）名称</w:t>
            </w:r>
          </w:p>
        </w:tc>
        <w:tc>
          <w:tcPr>
            <w:tcW w:w="732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农村客运出租车等行业成品油价格补贴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7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县级主管部门</w:t>
            </w:r>
          </w:p>
        </w:tc>
        <w:tc>
          <w:tcPr>
            <w:tcW w:w="34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镇安县交通运输局</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实施单位</w:t>
            </w:r>
          </w:p>
        </w:tc>
        <w:tc>
          <w:tcPr>
            <w:tcW w:w="27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镇安县农村公路管理局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735"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项目资金（万元）</w:t>
            </w: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全年预算数（A）</w:t>
            </w:r>
          </w:p>
        </w:tc>
        <w:tc>
          <w:tcPr>
            <w:tcW w:w="20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全年执行数（B）</w:t>
            </w:r>
          </w:p>
        </w:tc>
        <w:tc>
          <w:tcPr>
            <w:tcW w:w="17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3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年度资金总额：</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89.68</w:t>
            </w:r>
          </w:p>
        </w:tc>
        <w:tc>
          <w:tcPr>
            <w:tcW w:w="20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89.68</w:t>
            </w:r>
          </w:p>
        </w:tc>
        <w:tc>
          <w:tcPr>
            <w:tcW w:w="17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73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其中：省级财政资</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7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73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市县财政资</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89.68</w:t>
            </w:r>
          </w:p>
        </w:tc>
        <w:tc>
          <w:tcPr>
            <w:tcW w:w="20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89.68</w:t>
            </w:r>
          </w:p>
        </w:tc>
        <w:tc>
          <w:tcPr>
            <w:tcW w:w="17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73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其他资金</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7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总体</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目标</w:t>
            </w:r>
          </w:p>
        </w:tc>
        <w:tc>
          <w:tcPr>
            <w:tcW w:w="464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年初设定目标</w:t>
            </w:r>
          </w:p>
        </w:tc>
        <w:tc>
          <w:tcPr>
            <w:tcW w:w="364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464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对农村公路客运84台车补助。</w:t>
            </w:r>
          </w:p>
          <w:p>
            <w:pPr>
              <w:keepNext w:val="0"/>
              <w:keepLines w:val="0"/>
              <w:pageBreakBefore w:val="0"/>
              <w:numPr>
                <w:ilvl w:val="0"/>
                <w:numId w:val="1"/>
              </w:numPr>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补助出租车177台</w:t>
            </w:r>
          </w:p>
        </w:tc>
        <w:tc>
          <w:tcPr>
            <w:tcW w:w="364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绩</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标</w:t>
            </w: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一级</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二级指标</w:t>
            </w: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三级指标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年度指标值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全年完成值</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产出</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数量指标</w:t>
            </w: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指标1：农村班线客运车辆</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84</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84</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指标2：出租车数</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177</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177</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质量指标</w:t>
            </w: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指标1：车辆是否符合工信部要求</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合格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时效指标</w:t>
            </w: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指标1：当年</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12月底前完</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成本指标</w:t>
            </w: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指标1：计划控制成本（万元）</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89.68</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89.68</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社会效益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指标1：工众出行体验及节能</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改善</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可持续影</w:t>
            </w: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指标1：补助发挥作用</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据实</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服务对象</w:t>
            </w:r>
          </w:p>
        </w:tc>
        <w:tc>
          <w:tcPr>
            <w:tcW w:w="26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指标1：群众满意度</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≧85%</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95%以上</w:t>
            </w:r>
          </w:p>
        </w:tc>
        <w:tc>
          <w:tcPr>
            <w:tcW w:w="1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说明</w:t>
            </w:r>
          </w:p>
        </w:tc>
        <w:tc>
          <w:tcPr>
            <w:tcW w:w="8296"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请在此处简要说明各级审计和财政监督检查中发现的问题及所涉及的金额，如没有请填无。</w:t>
            </w:r>
          </w:p>
        </w:tc>
      </w:tr>
    </w:tbl>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注：1.其他资金包括和财政资金共同投入到同一项目的自有资金、社会资金，以及前年度的结转结余资金等。</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2.定量指标，资金使用单位填写本地区实际完成数。财政和主管部门汇总时，对绝对值直接累加计算，相对值按照资金额度加权平均计算。</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3.定性指标根据指标完成情况分为：全部或基本达成预期指标、部分达成预期指标并具有一定效果、未达成预期指标 效果较差三档，分别按照100%—80%（含）、80%-60%（含）、60-0%合理填写完成比例。</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（2020年度）</w:t>
      </w:r>
    </w:p>
    <w:tbl>
      <w:tblPr>
        <w:tblStyle w:val="9"/>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82"/>
        <w:gridCol w:w="217"/>
        <w:gridCol w:w="984"/>
        <w:gridCol w:w="958"/>
        <w:gridCol w:w="1553"/>
        <w:gridCol w:w="159"/>
        <w:gridCol w:w="953"/>
        <w:gridCol w:w="344"/>
        <w:gridCol w:w="619"/>
        <w:gridCol w:w="532"/>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7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专项（项目）名称</w:t>
            </w:r>
          </w:p>
        </w:tc>
        <w:tc>
          <w:tcPr>
            <w:tcW w:w="7303"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车购税用于农村道路项目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7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县级主管部门</w:t>
            </w:r>
          </w:p>
        </w:tc>
        <w:tc>
          <w:tcPr>
            <w:tcW w:w="34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镇安县交通运输局</w:t>
            </w:r>
          </w:p>
        </w:tc>
        <w:tc>
          <w:tcPr>
            <w:tcW w:w="11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实施单位</w:t>
            </w:r>
          </w:p>
        </w:tc>
        <w:tc>
          <w:tcPr>
            <w:tcW w:w="269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镇安县通村通组公路管理处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736"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项目资金（万元）</w:t>
            </w:r>
          </w:p>
        </w:tc>
        <w:tc>
          <w:tcPr>
            <w:tcW w:w="19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全年预算数（A）</w:t>
            </w:r>
          </w:p>
        </w:tc>
        <w:tc>
          <w:tcPr>
            <w:tcW w:w="20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全年执行数（B）</w:t>
            </w:r>
          </w:p>
        </w:tc>
        <w:tc>
          <w:tcPr>
            <w:tcW w:w="17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年度资金总额：</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3360</w:t>
            </w:r>
          </w:p>
        </w:tc>
        <w:tc>
          <w:tcPr>
            <w:tcW w:w="20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3360</w:t>
            </w:r>
          </w:p>
        </w:tc>
        <w:tc>
          <w:tcPr>
            <w:tcW w:w="17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其中：省级财政资</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3360</w:t>
            </w:r>
          </w:p>
        </w:tc>
        <w:tc>
          <w:tcPr>
            <w:tcW w:w="20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3360</w:t>
            </w:r>
          </w:p>
        </w:tc>
        <w:tc>
          <w:tcPr>
            <w:tcW w:w="17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市县财政资</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7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736"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其他资金</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7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总体</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目标</w:t>
            </w:r>
          </w:p>
        </w:tc>
        <w:tc>
          <w:tcPr>
            <w:tcW w:w="465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年初设定目标</w:t>
            </w:r>
          </w:p>
        </w:tc>
        <w:tc>
          <w:tcPr>
            <w:tcW w:w="364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465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省道冷安公路续建项目，2020年计划完成</w:t>
            </w:r>
          </w:p>
        </w:tc>
        <w:tc>
          <w:tcPr>
            <w:tcW w:w="364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绩</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标</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一级</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二级指标</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三级指标</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年度指标值</w:t>
            </w: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全年完成值</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产出</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数量</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指标1：公路里程</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质量</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指标1：公路质量</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合格</w:t>
            </w: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时效指标</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指标1：当年</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12月底前完</w:t>
            </w: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指标3：</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成本指标</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指标1：计划控制成本（万元）</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3360</w:t>
            </w: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3360</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指标3：</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社会效益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指标1：经济发展</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促进</w:t>
            </w: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可持续影</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指标1：产业发展</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满意度指标</w:t>
            </w:r>
          </w:p>
        </w:tc>
        <w:tc>
          <w:tcPr>
            <w:tcW w:w="12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服务对象</w:t>
            </w:r>
          </w:p>
        </w:tc>
        <w:tc>
          <w:tcPr>
            <w:tcW w:w="26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指标1：群众满意度</w:t>
            </w: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≧85%</w:t>
            </w:r>
          </w:p>
        </w:tc>
        <w:tc>
          <w:tcPr>
            <w:tcW w:w="11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90%以上</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说明</w:t>
            </w:r>
          </w:p>
        </w:tc>
        <w:tc>
          <w:tcPr>
            <w:tcW w:w="8302"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请在此处简要说明各级审计和财政监督检查中发现的问题及所涉及的金额，如没有请填无。</w:t>
            </w:r>
          </w:p>
        </w:tc>
      </w:tr>
    </w:tbl>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注：1.其他资金包括和财政资金共同投入到同一项目的自有资金、社会资金，以及前年度的结转结余资金等。</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2.定量指标，资金使用单位填写本地区实际完成数。财政和主管部门汇总时，对绝对值直接累加计算，相对值按照资金额度加权平均计算。</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t>3.定性指标根据指标完成情况分为：全部或基本达成预期指标、部分达成预期指标并具有一定效果、未达成预期指标 效果较差三档，分别按照100%—80%（含）、80%-60%（含）、60-0%合理填写完成比例。</w:t>
      </w:r>
      <w:r>
        <w:rPr>
          <w:rFonts w:hint="eastAsia" w:ascii="方正小标宋简体" w:hAnsi="方正小标宋简体" w:eastAsia="方正小标宋简体" w:cs="方正小标宋简体"/>
          <w:sz w:val="36"/>
          <w:szCs w:val="36"/>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（2020年度）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bl>
      <w:tblPr>
        <w:tblStyle w:val="9"/>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781"/>
        <w:gridCol w:w="117"/>
        <w:gridCol w:w="1083"/>
        <w:gridCol w:w="856"/>
        <w:gridCol w:w="1551"/>
        <w:gridCol w:w="258"/>
        <w:gridCol w:w="853"/>
        <w:gridCol w:w="442"/>
        <w:gridCol w:w="519"/>
        <w:gridCol w:w="631"/>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专项（项目）名称</w:t>
            </w:r>
          </w:p>
        </w:tc>
        <w:tc>
          <w:tcPr>
            <w:tcW w:w="7392" w:type="dxa"/>
            <w:gridSpan w:val="9"/>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国道345木王林场至栗扎公路项目、镇安县冷水河至山阳界公路项目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734"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县级主管部门</w:t>
            </w:r>
          </w:p>
        </w:tc>
        <w:tc>
          <w:tcPr>
            <w:tcW w:w="3490"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镇安县交通运输局</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实施单位</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镇安县G345国道木王林场至栗扎公路管理处、镇安县冷安公路项目管理处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项目资金（万元）</w:t>
            </w: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全年预算数（A）</w:t>
            </w: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全年执行数（B）</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年度资金总额：</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2072"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183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其中：省级财政资</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2072"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5427</w:t>
            </w:r>
          </w:p>
        </w:tc>
        <w:tc>
          <w:tcPr>
            <w:tcW w:w="183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市县财政资</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2072"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83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其他资金</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2072"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83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83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总体</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目标</w:t>
            </w:r>
          </w:p>
        </w:tc>
        <w:tc>
          <w:tcPr>
            <w:tcW w:w="464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年初设定目标</w:t>
            </w:r>
          </w:p>
        </w:tc>
        <w:tc>
          <w:tcPr>
            <w:tcW w:w="364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4646"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1、完成国道345木王林场至栗扎公路建设续建项目。2、完成省道冷安公路建设续建项目</w:t>
            </w:r>
          </w:p>
        </w:tc>
        <w:tc>
          <w:tcPr>
            <w:tcW w:w="3644"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已完成通车。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3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绩</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标</w:t>
            </w: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一级</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二级指标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三级指标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年度指标值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产出</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数量指标</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指标1：国道木王林场至栗扎公路里程</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right"/>
              <w:textAlignment w:val="auto"/>
              <w:rPr>
                <w:rFonts w:hint="eastAsia" w:ascii="宋体" w:hAnsi="宋体" w:eastAsia="宋体" w:cs="宋体"/>
                <w:sz w:val="20"/>
                <w:szCs w:val="20"/>
              </w:rPr>
            </w:pPr>
            <w:r>
              <w:rPr>
                <w:rFonts w:hint="eastAsia" w:ascii="宋体" w:hAnsi="宋体" w:eastAsia="宋体" w:cs="宋体"/>
                <w:sz w:val="20"/>
                <w:szCs w:val="20"/>
              </w:rPr>
              <w:t>30.3</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30.3</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指标2：省道冷安公路里程</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right"/>
              <w:textAlignment w:val="auto"/>
              <w:rPr>
                <w:rFonts w:hint="eastAsia" w:ascii="宋体" w:hAnsi="宋体" w:eastAsia="宋体" w:cs="宋体"/>
                <w:sz w:val="20"/>
                <w:szCs w:val="20"/>
              </w:rPr>
            </w:pPr>
            <w:r>
              <w:rPr>
                <w:rFonts w:hint="eastAsia" w:ascii="宋体" w:hAnsi="宋体" w:eastAsia="宋体" w:cs="宋体"/>
                <w:sz w:val="20"/>
                <w:szCs w:val="20"/>
              </w:rPr>
              <w:t>33.4</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33.4</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质量指标</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指标1：国道栗扎至林场公路质量</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合格</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指标2：省道冷安公路</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合格</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指标3：</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时效指标</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指标1：当年</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12月底前完</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成本指标</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指标1：国道计划控制成本（万元）</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3427</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3427</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指标2：省到计划控制成本（万元）</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2000</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2000</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社会效益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指标1：经济发展</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促进</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可持续影</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指标1：旅游经济发展</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left"/>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服务对象</w:t>
            </w:r>
          </w:p>
        </w:tc>
        <w:tc>
          <w:tcPr>
            <w:tcW w:w="266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指标1：群众满意度</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≧85%</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90%以上</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说明</w:t>
            </w:r>
          </w:p>
        </w:tc>
        <w:tc>
          <w:tcPr>
            <w:tcW w:w="829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请在此处简要说明各级审计和财政监督检查中发现的问题及所涉及的金额，如没有请填无。</w:t>
            </w:r>
          </w:p>
        </w:tc>
      </w:tr>
    </w:tbl>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注：1.其他资金包括和财政资金共同投入到同一项目的自有资金、社会资金，以及前年度的结转结余资金等。</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2.定量指标，资金使用单位填写本地区实际完成数。财政和主管部门汇总时，对绝对值直接累加计算，相对值按照资金额度加权平均计算。</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3.定性指标根据指标完成情况分为：全部或基本达成预期指标、部分达成预期指标并具有一定效果、未达成预期指标效果较差三档，分别按照100%—80%（含）、80%-60%（含）、60-0%合理填写完成比例。</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（2020年度）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bl>
      <w:tblPr>
        <w:tblStyle w:val="9"/>
        <w:tblW w:w="8993"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781"/>
        <w:gridCol w:w="250"/>
        <w:gridCol w:w="950"/>
        <w:gridCol w:w="989"/>
        <w:gridCol w:w="1551"/>
        <w:gridCol w:w="125"/>
        <w:gridCol w:w="986"/>
        <w:gridCol w:w="309"/>
        <w:gridCol w:w="652"/>
        <w:gridCol w:w="498"/>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专项（项目）名称</w:t>
            </w:r>
          </w:p>
        </w:tc>
        <w:tc>
          <w:tcPr>
            <w:tcW w:w="725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2020年农村公路安保项目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县级主管部门</w:t>
            </w:r>
          </w:p>
        </w:tc>
        <w:tc>
          <w:tcPr>
            <w:tcW w:w="34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镇安县交通运输局</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实施单位</w:t>
            </w:r>
          </w:p>
        </w:tc>
        <w:tc>
          <w:tcPr>
            <w:tcW w:w="265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镇安县通村通组公路管理处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项目资金（万元）</w:t>
            </w: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全年预算数（A）</w:t>
            </w: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全年执行数（B）</w:t>
            </w:r>
          </w:p>
        </w:tc>
        <w:tc>
          <w:tcPr>
            <w:tcW w:w="16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年度资金总额：</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1083</w:t>
            </w: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1083</w:t>
            </w:r>
          </w:p>
        </w:tc>
        <w:tc>
          <w:tcPr>
            <w:tcW w:w="16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其中：省级财政资</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6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市县财政资</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6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其他资金</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0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6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70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总体</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目标</w:t>
            </w:r>
          </w:p>
        </w:tc>
        <w:tc>
          <w:tcPr>
            <w:tcW w:w="464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年初设定目标</w:t>
            </w:r>
          </w:p>
        </w:tc>
        <w:tc>
          <w:tcPr>
            <w:tcW w:w="364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464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公路</w:t>
            </w:r>
          </w:p>
        </w:tc>
        <w:tc>
          <w:tcPr>
            <w:tcW w:w="364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0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绩</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标</w:t>
            </w: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一级</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二级指标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三级指标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年度指标值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产出</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数量指标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指标1：公路里程（公里）</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114.4</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114.4</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指标3：</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质量指标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指标1：公路质量</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合格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指标3：</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时效指标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指标1：当年</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12月底前完</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指标3：</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成本指标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指标1：计划控制成本（万元）</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1083</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1144</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指标3：</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指标4：</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社会效益</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指标</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指标1：经济发展</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促进</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完成</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指标2：对行人及车辆安全</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保障</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可持续影</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指标1：农村公路发展</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保障提升</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提升</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服务对象</w:t>
            </w:r>
          </w:p>
        </w:tc>
        <w:tc>
          <w:tcPr>
            <w:tcW w:w="2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指标1：群众满意度</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≧85%</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90%以上</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说明</w:t>
            </w:r>
          </w:p>
        </w:tc>
        <w:tc>
          <w:tcPr>
            <w:tcW w:w="8290"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请在此处简要说明各级审计和财政监督检查中发现的问题及所涉及的金额，如没有请填无。</w:t>
            </w:r>
          </w:p>
        </w:tc>
      </w:tr>
    </w:tbl>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注：1.其他资金包括和财政资金共同投入到同一项目的自有资金、社会资金，以及前年度的结转结余资金等。</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2.定量指标，资金使用单位填写本地区实际完成数。财政和主管部门汇总时，对绝对值直接累加计算，相对值按照资金额度加权平均计算。</w:t>
      </w:r>
    </w:p>
    <w:p>
      <w:pPr>
        <w:keepNext w:val="0"/>
        <w:keepLines w:val="0"/>
        <w:pageBreakBefore w:val="0"/>
        <w:kinsoku/>
        <w:wordWrap/>
        <w:overflowPunct/>
        <w:topLinePunct w:val="0"/>
        <w:autoSpaceDE/>
        <w:autoSpaceDN/>
        <w:bidi w:val="0"/>
        <w:adjustRightInd/>
        <w:snapToGrid/>
        <w:spacing w:line="280" w:lineRule="exact"/>
        <w:ind w:left="0" w:leftChars="0" w:right="0" w:firstLine="0" w:firstLineChars="0"/>
        <w:textAlignment w:val="auto"/>
        <w:rPr>
          <w:rFonts w:ascii="宋体" w:hAnsi="宋体" w:cs="宋体"/>
          <w:sz w:val="18"/>
          <w:szCs w:val="18"/>
        </w:rPr>
      </w:pPr>
      <w:r>
        <w:rPr>
          <w:rFonts w:hint="eastAsia" w:ascii="宋体" w:hAnsi="宋体" w:eastAsia="宋体" w:cs="宋体"/>
          <w:sz w:val="20"/>
          <w:szCs w:val="20"/>
        </w:rPr>
        <w:t>3.定性指标根据指标完成情况分为：全部或基本达成预期指标、部分达成预期指标并具有一定效果、未达成预期指标 效果较差三档，分别按照100%—80%（含）、80%-60%（含）、60-0%合理填写完成比例。</w:t>
      </w:r>
    </w:p>
    <w:p>
      <w:pPr>
        <w:keepNext w:val="0"/>
        <w:keepLines w:val="0"/>
        <w:pageBreakBefore w:val="0"/>
        <w:widowControl/>
        <w:kinsoku/>
        <w:wordWrap/>
        <w:overflowPunct/>
        <w:topLinePunct w:val="0"/>
        <w:autoSpaceDE/>
        <w:autoSpaceDN/>
        <w:bidi w:val="0"/>
        <w:adjustRightInd/>
        <w:spacing w:line="240" w:lineRule="auto"/>
        <w:ind w:left="0" w:leftChars="0" w:right="0"/>
        <w:jc w:val="left"/>
        <w:textAlignment w:val="auto"/>
        <w:rPr>
          <w:rFonts w:ascii="宋体" w:hAnsi="宋体" w:cs="宋体"/>
          <w:sz w:val="18"/>
          <w:szCs w:val="18"/>
        </w:rPr>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701" w:left="1587" w:header="851" w:footer="1531" w:gutter="0"/>
          <w:cols w:space="0" w:num="1"/>
          <w:rtlGutter w:val="0"/>
          <w:docGrid w:type="linesAndChars" w:linePitch="579" w:charSpace="-849"/>
        </w:sectPr>
      </w:pP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（2020年度）</w:t>
      </w:r>
    </w:p>
    <w:p>
      <w:pPr>
        <w:keepNext w:val="0"/>
        <w:keepLines w:val="0"/>
        <w:pageBreakBefore w:val="0"/>
        <w:kinsoku/>
        <w:wordWrap/>
        <w:overflowPunct/>
        <w:topLinePunct w:val="0"/>
        <w:autoSpaceDE/>
        <w:autoSpaceDN/>
        <w:bidi w:val="0"/>
        <w:adjustRightInd/>
        <w:spacing w:line="240" w:lineRule="auto"/>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填报单位：镇安县交通运输局                                                                                                   自评得分：89</w:t>
      </w:r>
    </w:p>
    <w:tbl>
      <w:tblPr>
        <w:tblStyle w:val="9"/>
        <w:tblW w:w="14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707"/>
        <w:gridCol w:w="752"/>
        <w:gridCol w:w="460"/>
        <w:gridCol w:w="3315"/>
        <w:gridCol w:w="2707"/>
        <w:gridCol w:w="1114"/>
        <w:gridCol w:w="734"/>
        <w:gridCol w:w="774"/>
        <w:gridCol w:w="455"/>
        <w:gridCol w:w="1443"/>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79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both"/>
              <w:textAlignment w:val="auto"/>
              <w:rPr>
                <w:rFonts w:hint="eastAsia" w:ascii="宋体" w:hAnsi="宋体" w:eastAsia="宋体" w:cs="宋体"/>
                <w:sz w:val="20"/>
                <w:szCs w:val="20"/>
              </w:rPr>
            </w:pPr>
            <w:r>
              <w:rPr>
                <w:rFonts w:hint="eastAsia" w:ascii="宋体" w:hAnsi="宋体" w:eastAsia="宋体" w:cs="宋体"/>
                <w:sz w:val="20"/>
                <w:szCs w:val="20"/>
              </w:rPr>
              <w:t>（一）简要概述部门职能与职责</w:t>
            </w:r>
          </w:p>
        </w:tc>
        <w:tc>
          <w:tcPr>
            <w:tcW w:w="834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both"/>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79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both"/>
              <w:textAlignment w:val="auto"/>
              <w:rPr>
                <w:rFonts w:hint="eastAsia" w:ascii="宋体" w:hAnsi="宋体" w:eastAsia="宋体" w:cs="宋体"/>
                <w:sz w:val="20"/>
                <w:szCs w:val="20"/>
              </w:rPr>
            </w:pPr>
            <w:r>
              <w:rPr>
                <w:rFonts w:hint="eastAsia" w:ascii="宋体" w:hAnsi="宋体" w:eastAsia="宋体" w:cs="宋体"/>
                <w:sz w:val="20"/>
                <w:szCs w:val="20"/>
              </w:rPr>
              <w:t>（二）简要概述部门支出情况，按活动内容分类</w:t>
            </w:r>
          </w:p>
        </w:tc>
        <w:tc>
          <w:tcPr>
            <w:tcW w:w="834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both"/>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79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both"/>
              <w:textAlignment w:val="auto"/>
              <w:rPr>
                <w:rFonts w:hint="eastAsia" w:ascii="宋体" w:hAnsi="宋体" w:eastAsia="宋体" w:cs="宋体"/>
                <w:sz w:val="20"/>
                <w:szCs w:val="20"/>
              </w:rPr>
            </w:pPr>
            <w:r>
              <w:rPr>
                <w:rFonts w:hint="eastAsia" w:ascii="宋体" w:hAnsi="宋体" w:eastAsia="宋体" w:cs="宋体"/>
                <w:sz w:val="20"/>
                <w:szCs w:val="20"/>
              </w:rPr>
              <w:t>（三）简要概述当年县委县政府下达的重点工作</w:t>
            </w:r>
          </w:p>
        </w:tc>
        <w:tc>
          <w:tcPr>
            <w:tcW w:w="834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both"/>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指标说明</w:t>
            </w:r>
          </w:p>
        </w:tc>
        <w:tc>
          <w:tcPr>
            <w:tcW w:w="2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完成值</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得分</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绩效指标</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8"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预算完成率（10分）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预算完成率=（预算完成数/预算数）×100%，用以反映和考核部门（单位）预算完成程度。</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预算完成数：部门（单位）本年度</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预算数：财政部门批复的本年度部门（单位）预算数。</w:t>
            </w:r>
          </w:p>
        </w:tc>
        <w:tc>
          <w:tcPr>
            <w:tcW w:w="2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预算完成率=100%，得10分。</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预算完成率≧95%的，得9分。</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预算完成率在90%（含 ）和95%之间，得8分。</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预算完成率在85%（含）和90%之间，得7分。</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预算完成率在80%（含）和85%之间，得6分。</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预算完成率在70%（含）和80%之间，得4分。</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预算完成率在〈70%，得0分。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8</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95.1%</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9</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因部分项目开工较迟，未按计划完成</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加强计划管理。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预算调整率（5分）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pacing w:val="-6"/>
                <w:sz w:val="20"/>
                <w:szCs w:val="20"/>
              </w:rPr>
            </w:pPr>
            <w:r>
              <w:rPr>
                <w:rFonts w:hint="eastAsia" w:ascii="宋体" w:hAnsi="宋体" w:eastAsia="宋体" w:cs="宋体"/>
                <w:sz w:val="20"/>
                <w:szCs w:val="20"/>
              </w:rPr>
              <w:t>预算调整率</w:t>
            </w:r>
            <w:r>
              <w:rPr>
                <w:rFonts w:hint="eastAsia" w:ascii="宋体" w:hAnsi="宋体" w:eastAsia="宋体" w:cs="宋体"/>
                <w:spacing w:val="-6"/>
                <w:sz w:val="20"/>
                <w:szCs w:val="20"/>
              </w:rPr>
              <w:t>=(预算调整数/预算数)×100%，用以反映和考核部门(单位)预算的调整程度。</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预算包括一般公共预算与政府性基金预算。</w:t>
            </w:r>
          </w:p>
        </w:tc>
        <w:tc>
          <w:tcPr>
            <w:tcW w:w="2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预算调整率绝对值≦5%,得5分。预算调整率绝对值〉5%的，每增加0.1个百分点扣0.1分，扣完为止。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因年初未将项目资金纳入预算，故未完成，向财政部门反应，将项目资金纳入年初预算</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因项目资金未预算，故调整率较大，建议将项目资金纳入预算。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指标说明</w:t>
            </w:r>
          </w:p>
        </w:tc>
        <w:tc>
          <w:tcPr>
            <w:tcW w:w="2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完成值</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得分</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绩效指标</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支出进度率（5分）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支出进度率=（实际支出/支出预算）×100%，用以反映和考核部门（单位）预算执行的及时性和均衡性程度。</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半年支出进度=部门上半年实际支出/（上年结余结转+本年部门预算安排+上半年执行中追加追减）*100%。</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前三季度支出进度=部门前三季度实际支出/（上年结余结转+本年部门预算安排+前三季度执行中追加追减）*100%。</w:t>
            </w:r>
          </w:p>
        </w:tc>
        <w:tc>
          <w:tcPr>
            <w:tcW w:w="2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半年进度：进度率≧45%，得2分；进度率在40%（含）和45%之间，得1分；进度率〈40%，得0分。</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前三季度进度：进度率≧75%，得3分；进度率在60%（含）和75%之间，得2分；进度率〈60%，得0分。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集中支付</w:t>
            </w:r>
          </w:p>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系统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95.1</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4</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工程部分因开工较迟，未按计划形成投资</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加强工程进度，按照计划及时开工建设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预算编制准确率（5分）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部门预算中除财政拨款外的其他收入预算与决算差异率。</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预算编制准确率=其他收入决算数/其他收入预算数×100%-100%。</w:t>
            </w:r>
          </w:p>
        </w:tc>
        <w:tc>
          <w:tcPr>
            <w:tcW w:w="2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预算编制准确率≦20%，得5分。预算编制准确率在20%和40%（含）之间，得3分。</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预算编制准确率〉40%，得0分。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符合规定</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无其他收入</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过程</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“三公经费”控制率（5分）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“三公经费”控制率=（“三公经费”实际支出数/“三公经费”预算安排数）×100%，用以反映和考核部门（单位）对“三公经费”的实际控制程度。</w:t>
            </w:r>
          </w:p>
        </w:tc>
        <w:tc>
          <w:tcPr>
            <w:tcW w:w="2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三公经费控制率≦100%，得5分，每增加0.1个百分点扣0.5分，扣完为止。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符合规定</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继续严格执行财经纪律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资产管理规范性（5分）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部门（单位）资产管理是否规范，用以反映和考核部门（单位）资产管理情况。</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1.新增资产配置按预算执行。</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2.资产有偿使用、处置按规定程序审批。</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3.资产收益及时、足额上缴财政。</w:t>
            </w:r>
          </w:p>
        </w:tc>
        <w:tc>
          <w:tcPr>
            <w:tcW w:w="2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全部符合5分，有1项不符扣2分，扣完为止。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规范</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执行规范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指标说明</w:t>
            </w:r>
          </w:p>
        </w:tc>
        <w:tc>
          <w:tcPr>
            <w:tcW w:w="2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完成值</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得分</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未完成原因分析与改进措施</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绩效指标</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20"/>
                <w:szCs w:val="20"/>
                <w:lang w:val="en-US" w:eastAsia="zh-CN" w:bidi="ar-SA"/>
              </w:rPr>
            </w:pPr>
            <w:r>
              <w:rPr>
                <w:rFonts w:hint="eastAsia" w:ascii="宋体" w:hAnsi="宋体" w:eastAsia="宋体" w:cs="宋体"/>
                <w:b/>
                <w:bCs/>
                <w:sz w:val="20"/>
                <w:szCs w:val="20"/>
              </w:rPr>
              <w:t>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3"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过程</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资金使用合规性（5分）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部门（单位）使用预算资金是否符合相关的预算财务管理制度的规定，用以反映和考核部门（单位）预算资金的规范运行情况。</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1.符合国家财经法规和财务管理制度规定以及有关专项资金管理办法的规定；</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2.资金的拨付有完整的审批程序和手续；</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3.重大项目开支经过评估论证；</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4.符合部门预算批复的用途；</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5.不存</w:t>
            </w:r>
            <w:r>
              <w:rPr>
                <w:rFonts w:hint="eastAsia" w:ascii="宋体" w:hAnsi="宋体" w:eastAsia="宋体" w:cs="宋体"/>
                <w:spacing w:val="-6"/>
                <w:sz w:val="20"/>
                <w:szCs w:val="20"/>
              </w:rPr>
              <w:t>在截留、挤占、挪用、虚列支出等情况。</w:t>
            </w:r>
          </w:p>
        </w:tc>
        <w:tc>
          <w:tcPr>
            <w:tcW w:w="2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全部符合5分，有1项不符扣2分。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确保资金使用合规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效果</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履职尽责（60分）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项目产出（40分）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40</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1.省道冷安公路</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2.国道栗扎公路</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3.2020通组产业路</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4、2020安保工程.</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5、沙柴公路</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6，桥涵项目等，养护工程</w:t>
            </w:r>
          </w:p>
        </w:tc>
        <w:tc>
          <w:tcPr>
            <w:tcW w:w="2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pacing w:val="-6"/>
                <w:sz w:val="20"/>
                <w:szCs w:val="20"/>
              </w:rPr>
            </w:pPr>
            <w:r>
              <w:rPr>
                <w:rFonts w:hint="eastAsia" w:ascii="宋体" w:hAnsi="宋体" w:eastAsia="宋体" w:cs="宋体"/>
                <w:sz w:val="20"/>
                <w:szCs w:val="20"/>
              </w:rPr>
              <w:t>1.若为定</w:t>
            </w:r>
            <w:r>
              <w:rPr>
                <w:rFonts w:hint="eastAsia" w:ascii="宋体" w:hAnsi="宋体" w:eastAsia="宋体" w:cs="宋体"/>
                <w:spacing w:val="-6"/>
                <w:sz w:val="20"/>
                <w:szCs w:val="20"/>
              </w:rPr>
              <w:t>性指标，根据“三档”原则分别按照指标分值的100-80%（含）、80-50%（含）、50-10%来记分；</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2.若为定量指标，完成值达到指标值，记满分；未达到指标值，按完成比率计分，正向指标（即指标值为≧*）得分=实际完成值/年初目标值*该</w:t>
            </w:r>
            <w:r>
              <w:rPr>
                <w:rFonts w:hint="eastAsia" w:ascii="宋体" w:hAnsi="宋体" w:eastAsia="宋体" w:cs="宋体"/>
                <w:spacing w:val="-6"/>
                <w:sz w:val="20"/>
                <w:szCs w:val="20"/>
              </w:rPr>
              <w:t>指标分值，反向指标（即指标值为≦*）得分=年初目标值/实际完成值*该指标分值。</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95.1</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38</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因疫情影响，个别项目未能按计划完成。</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加强施工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项目效益（20分）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20</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1.农村公路建设</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2.国道345项目建设</w:t>
            </w:r>
          </w:p>
          <w:p>
            <w:pPr>
              <w:keepNext w:val="0"/>
              <w:keepLines w:val="0"/>
              <w:pageBreakBefore w:val="0"/>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r>
              <w:rPr>
                <w:rFonts w:hint="eastAsia" w:ascii="宋体" w:hAnsi="宋体" w:eastAsia="宋体" w:cs="宋体"/>
                <w:sz w:val="20"/>
                <w:szCs w:val="20"/>
              </w:rPr>
              <w:t>3.桥涵项目</w:t>
            </w:r>
          </w:p>
        </w:tc>
        <w:tc>
          <w:tcPr>
            <w:tcW w:w="2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jc w:val="left"/>
              <w:textAlignment w:val="auto"/>
              <w:rPr>
                <w:rFonts w:hint="eastAsia" w:ascii="宋体" w:hAnsi="宋体" w:eastAsia="宋体" w:cs="宋体"/>
                <w:sz w:val="20"/>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95</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18</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jc w:val="center"/>
              <w:textAlignment w:val="auto"/>
              <w:rPr>
                <w:rFonts w:hint="eastAsia" w:ascii="宋体" w:hAnsi="宋体" w:eastAsia="宋体" w:cs="宋体"/>
                <w:sz w:val="20"/>
                <w:szCs w:val="20"/>
              </w:rPr>
            </w:pPr>
            <w:r>
              <w:rPr>
                <w:rFonts w:hint="eastAsia" w:ascii="宋体" w:hAnsi="宋体" w:eastAsia="宋体" w:cs="宋体"/>
                <w:sz w:val="20"/>
                <w:szCs w:val="20"/>
              </w:rPr>
              <w:t>计划与实际差异，部分项目未按计划完成实施</w:t>
            </w:r>
          </w:p>
        </w:tc>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加强项目管理，提高社会效益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14135"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备注：</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1.“项目产出”和“项目效果”直接细化成部门年初绩效目标中的指标，并根据重要程度赋权。</w:t>
            </w:r>
          </w:p>
          <w:p>
            <w:pPr>
              <w:keepNext w:val="0"/>
              <w:keepLines w:val="0"/>
              <w:pageBreakBefore w:val="0"/>
              <w:kinsoku/>
              <w:wordWrap/>
              <w:overflowPunct/>
              <w:topLinePunct w:val="0"/>
              <w:autoSpaceDE/>
              <w:autoSpaceDN/>
              <w:bidi w:val="0"/>
              <w:adjustRightInd/>
              <w:snapToGrid/>
              <w:spacing w:line="240" w:lineRule="exact"/>
              <w:ind w:left="0" w:leftChars="0" w:right="0"/>
              <w:textAlignment w:val="auto"/>
              <w:rPr>
                <w:rFonts w:hint="eastAsia" w:ascii="宋体" w:hAnsi="宋体" w:eastAsia="宋体" w:cs="宋体"/>
                <w:sz w:val="20"/>
                <w:szCs w:val="20"/>
              </w:rPr>
            </w:pPr>
            <w:r>
              <w:rPr>
                <w:rFonts w:hint="eastAsia" w:ascii="宋体" w:hAnsi="宋体" w:eastAsia="宋体" w:cs="宋体"/>
                <w:sz w:val="20"/>
                <w:szCs w:val="20"/>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keepNext w:val="0"/>
        <w:keepLines w:val="0"/>
        <w:pageBreakBefore w:val="0"/>
        <w:kinsoku/>
        <w:wordWrap/>
        <w:overflowPunct/>
        <w:topLinePunct w:val="0"/>
        <w:autoSpaceDE/>
        <w:autoSpaceDN/>
        <w:bidi w:val="0"/>
        <w:adjustRightInd/>
        <w:spacing w:line="240" w:lineRule="auto"/>
        <w:ind w:left="0" w:leftChars="0" w:right="0"/>
        <w:textAlignment w:val="auto"/>
        <w:rPr>
          <w:rFonts w:ascii="宋体" w:hAnsi="宋体" w:cs="宋体"/>
          <w:sz w:val="18"/>
          <w:szCs w:val="18"/>
        </w:rPr>
      </w:pPr>
    </w:p>
    <w:p>
      <w:pPr>
        <w:keepNext w:val="0"/>
        <w:keepLines w:val="0"/>
        <w:pageBreakBefore w:val="0"/>
        <w:widowControl/>
        <w:kinsoku/>
        <w:wordWrap/>
        <w:overflowPunct/>
        <w:topLinePunct w:val="0"/>
        <w:autoSpaceDE/>
        <w:autoSpaceDN/>
        <w:bidi w:val="0"/>
        <w:adjustRightInd/>
        <w:spacing w:line="240" w:lineRule="auto"/>
        <w:ind w:left="0" w:leftChars="0" w:right="0"/>
        <w:jc w:val="left"/>
        <w:textAlignment w:val="auto"/>
        <w:rPr>
          <w:rFonts w:ascii="宋体" w:hAnsi="宋体" w:cs="宋体"/>
          <w:sz w:val="18"/>
          <w:szCs w:val="18"/>
        </w:rPr>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417" w:right="1417" w:bottom="1134" w:left="1417" w:header="851" w:footer="567" w:gutter="0"/>
          <w:cols w:space="0" w:num="1"/>
          <w:rtlGutter w:val="0"/>
          <w:docGrid w:type="lines" w:linePitch="445"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ascii="黑体" w:hAnsi="黑体" w:eastAsia="黑体" w:cs="黑体"/>
        </w:rPr>
      </w:pPr>
      <w:r>
        <w:rPr>
          <w:rFonts w:hint="eastAsia" w:ascii="黑体" w:hAnsi="黑体" w:eastAsia="黑体" w:cs="黑体"/>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2020年机关运行经费年初预算为138.74元万元，上年结转0万元，调整预算数171.54万元，支出决算为171.54万元，完成预算的100%，决算数与预算数持平。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2020本部门政府采购支出总额支出0万元，其中政府采购货物类支出0万元、政府采购服务类支出0万元、政府采购工程类支出0万元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00" w:firstLineChars="200"/>
        <w:textAlignment w:val="auto"/>
        <w:rPr>
          <w:rFonts w:ascii="华文楷体" w:hAnsi="华文楷体" w:eastAsia="华文楷体" w:cs="楷体_GB2312"/>
          <w:bCs/>
          <w:sz w:val="30"/>
          <w:szCs w:val="30"/>
        </w:rPr>
      </w:pPr>
      <w:r>
        <w:rPr>
          <w:rFonts w:hint="eastAsia" w:ascii="华文楷体" w:hAnsi="华文楷体" w:eastAsia="华文楷体" w:cs="楷体_GB2312"/>
          <w:bCs/>
          <w:sz w:val="30"/>
          <w:szCs w:val="30"/>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00" w:firstLineChars="200"/>
        <w:textAlignment w:val="auto"/>
        <w:rPr>
          <w:rFonts w:ascii="仿宋_GB2312" w:hAnsi="仿宋_GB2312" w:cs="仿宋_GB2312"/>
          <w:sz w:val="30"/>
          <w:szCs w:val="30"/>
        </w:rPr>
      </w:pPr>
      <w:r>
        <w:rPr>
          <w:rFonts w:hint="eastAsia" w:ascii="仿宋_GB2312" w:hAnsi="仿宋_GB2312" w:cs="仿宋_GB2312"/>
          <w:sz w:val="30"/>
          <w:szCs w:val="30"/>
        </w:rPr>
        <w:t>截至2020年末，本部门机关及所属单位公务车辆保有量3辆；单价50万元以上的通用设备0台（套）；单价100万元以上的专用设备0台（套）。2020年当年购置车辆0辆；购置单价50万元以上的通用设备0台（套）；购置单价100万元以上的专用设备0台（套）。</w:t>
      </w:r>
    </w:p>
    <w:p>
      <w:pPr>
        <w:keepNext w:val="0"/>
        <w:keepLines w:val="0"/>
        <w:pageBreakBefore w:val="0"/>
        <w:kinsoku/>
        <w:wordWrap/>
        <w:overflowPunct/>
        <w:topLinePunct w:val="0"/>
        <w:autoSpaceDE/>
        <w:autoSpaceDN/>
        <w:bidi w:val="0"/>
        <w:adjustRightInd/>
        <w:spacing w:line="240" w:lineRule="auto"/>
        <w:ind w:left="0" w:leftChars="0" w:right="0"/>
        <w:textAlignment w:val="auto"/>
        <w:rPr>
          <w:rFonts w:ascii="仿宋_GB2312" w:hAnsi="仿宋_GB2312" w:cs="仿宋_GB231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kinsoku/>
        <w:wordWrap/>
        <w:overflowPunct/>
        <w:topLinePunct w:val="0"/>
        <w:autoSpaceDE/>
        <w:autoSpaceDN/>
        <w:bidi w:val="0"/>
        <w:adjustRightInd/>
        <w:spacing w:line="240" w:lineRule="auto"/>
        <w:ind w:left="0" w:leftChars="0" w:right="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keepNext w:val="0"/>
        <w:keepLines w:val="0"/>
        <w:pageBreakBefore w:val="0"/>
        <w:kinsoku/>
        <w:wordWrap/>
        <w:overflowPunct/>
        <w:topLinePunct w:val="0"/>
        <w:autoSpaceDE/>
        <w:autoSpaceDN/>
        <w:bidi w:val="0"/>
        <w:adjustRightInd/>
        <w:spacing w:line="240" w:lineRule="auto"/>
        <w:ind w:left="0" w:leftChars="0" w:right="0"/>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ascii="仿宋_GB2312" w:hAnsi="仿宋_GB2312" w:cs="仿宋_GB2312"/>
        </w:rPr>
      </w:pPr>
      <w:r>
        <w:rPr>
          <w:rFonts w:hint="eastAsia" w:ascii="仿宋_GB2312" w:hAnsi="仿宋_GB2312" w:cs="仿宋_GB2312"/>
          <w:b/>
          <w:bCs/>
        </w:rPr>
        <w:t>1.基本支出：</w:t>
      </w:r>
      <w:r>
        <w:rPr>
          <w:rFonts w:hint="eastAsia" w:ascii="仿宋_GB2312" w:hAnsi="仿宋_GB2312" w:cs="仿宋_GB231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ascii="仿宋_GB2312" w:hAnsi="仿宋_GB2312" w:cs="仿宋_GB2312"/>
        </w:rPr>
      </w:pPr>
      <w:r>
        <w:rPr>
          <w:rFonts w:hint="eastAsia" w:ascii="仿宋_GB2312" w:hAnsi="仿宋_GB2312" w:cs="仿宋_GB2312"/>
          <w:b/>
          <w:bCs/>
        </w:rPr>
        <w:t>2.项目支出：</w:t>
      </w:r>
      <w:r>
        <w:rPr>
          <w:rFonts w:hint="eastAsia" w:ascii="仿宋_GB2312" w:hAnsi="仿宋_GB2312" w:cs="仿宋_GB231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ascii="仿宋_GB2312" w:hAnsi="仿宋_GB2312" w:cs="仿宋_GB2312"/>
        </w:rPr>
      </w:pPr>
      <w:r>
        <w:rPr>
          <w:rFonts w:hint="eastAsia" w:ascii="仿宋_GB2312" w:hAnsi="仿宋_GB2312" w:cs="仿宋_GB2312"/>
          <w:b/>
          <w:bCs/>
        </w:rPr>
        <w:t>3.“三公”经费：</w:t>
      </w:r>
      <w:r>
        <w:rPr>
          <w:rFonts w:hint="eastAsia" w:ascii="仿宋_GB2312" w:hAnsi="仿宋_GB2312" w:cs="仿宋_GB231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ascii="仿宋_GB2312" w:hAnsi="仿宋_GB2312" w:cs="仿宋_GB2312"/>
        </w:rPr>
      </w:pPr>
      <w:r>
        <w:rPr>
          <w:rFonts w:hint="eastAsia" w:ascii="仿宋_GB2312" w:hAnsi="仿宋_GB2312" w:cs="仿宋_GB2312"/>
          <w:b/>
          <w:bCs/>
        </w:rPr>
        <w:t>4.财政拨款收入：</w:t>
      </w:r>
      <w:r>
        <w:rPr>
          <w:rFonts w:hint="eastAsia" w:ascii="仿宋_GB2312" w:hAnsi="仿宋_GB2312" w:cs="仿宋_GB2312"/>
        </w:rPr>
        <w:t>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pPr>
    </w:p>
    <w:sectPr>
      <w:pgSz w:w="11906" w:h="16838"/>
      <w:pgMar w:top="1984" w:right="1474" w:bottom="1701" w:left="1587" w:header="851" w:footer="992" w:gutter="0"/>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5888B"/>
    <w:multiLevelType w:val="singleLevel"/>
    <w:tmpl w:val="B07588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646F"/>
    <w:rsid w:val="000005A1"/>
    <w:rsid w:val="000006B1"/>
    <w:rsid w:val="0000073A"/>
    <w:rsid w:val="00001A31"/>
    <w:rsid w:val="00001DEE"/>
    <w:rsid w:val="00002681"/>
    <w:rsid w:val="00002840"/>
    <w:rsid w:val="00002A9F"/>
    <w:rsid w:val="00002C45"/>
    <w:rsid w:val="000031F8"/>
    <w:rsid w:val="00003A25"/>
    <w:rsid w:val="00003F02"/>
    <w:rsid w:val="00003FCA"/>
    <w:rsid w:val="000043CA"/>
    <w:rsid w:val="00004892"/>
    <w:rsid w:val="0000551F"/>
    <w:rsid w:val="00006A9B"/>
    <w:rsid w:val="00007037"/>
    <w:rsid w:val="000075A7"/>
    <w:rsid w:val="00007FC6"/>
    <w:rsid w:val="00012954"/>
    <w:rsid w:val="00012D1D"/>
    <w:rsid w:val="000138BC"/>
    <w:rsid w:val="00013D53"/>
    <w:rsid w:val="00014411"/>
    <w:rsid w:val="000148F0"/>
    <w:rsid w:val="00014A5D"/>
    <w:rsid w:val="0001727D"/>
    <w:rsid w:val="00017656"/>
    <w:rsid w:val="00017D25"/>
    <w:rsid w:val="000204CB"/>
    <w:rsid w:val="00021102"/>
    <w:rsid w:val="00021F60"/>
    <w:rsid w:val="000220B1"/>
    <w:rsid w:val="000235C4"/>
    <w:rsid w:val="00023A8B"/>
    <w:rsid w:val="00023C62"/>
    <w:rsid w:val="00024607"/>
    <w:rsid w:val="000249BE"/>
    <w:rsid w:val="00024C0A"/>
    <w:rsid w:val="00024CE8"/>
    <w:rsid w:val="00025A58"/>
    <w:rsid w:val="0002716D"/>
    <w:rsid w:val="00027FDC"/>
    <w:rsid w:val="00031B9D"/>
    <w:rsid w:val="00031F93"/>
    <w:rsid w:val="0003240F"/>
    <w:rsid w:val="0003274C"/>
    <w:rsid w:val="000330E6"/>
    <w:rsid w:val="00033F94"/>
    <w:rsid w:val="000342FD"/>
    <w:rsid w:val="00034897"/>
    <w:rsid w:val="00035037"/>
    <w:rsid w:val="00035529"/>
    <w:rsid w:val="00037873"/>
    <w:rsid w:val="000403C0"/>
    <w:rsid w:val="00040A93"/>
    <w:rsid w:val="00040C61"/>
    <w:rsid w:val="0004480E"/>
    <w:rsid w:val="00044873"/>
    <w:rsid w:val="00044EAD"/>
    <w:rsid w:val="00045A6A"/>
    <w:rsid w:val="00046EA9"/>
    <w:rsid w:val="0005065F"/>
    <w:rsid w:val="00050F50"/>
    <w:rsid w:val="000522E9"/>
    <w:rsid w:val="00052B64"/>
    <w:rsid w:val="00053FD2"/>
    <w:rsid w:val="000542B0"/>
    <w:rsid w:val="00055055"/>
    <w:rsid w:val="00055B9A"/>
    <w:rsid w:val="00056D30"/>
    <w:rsid w:val="00057C31"/>
    <w:rsid w:val="00057D13"/>
    <w:rsid w:val="000603EB"/>
    <w:rsid w:val="00061153"/>
    <w:rsid w:val="000613B9"/>
    <w:rsid w:val="00061689"/>
    <w:rsid w:val="000624D8"/>
    <w:rsid w:val="00062592"/>
    <w:rsid w:val="0006264C"/>
    <w:rsid w:val="00063686"/>
    <w:rsid w:val="0006478A"/>
    <w:rsid w:val="00064ADF"/>
    <w:rsid w:val="00066252"/>
    <w:rsid w:val="0006632A"/>
    <w:rsid w:val="000666E3"/>
    <w:rsid w:val="00067F89"/>
    <w:rsid w:val="0007161A"/>
    <w:rsid w:val="00072354"/>
    <w:rsid w:val="00072A20"/>
    <w:rsid w:val="000730B1"/>
    <w:rsid w:val="0007402A"/>
    <w:rsid w:val="00074094"/>
    <w:rsid w:val="00075103"/>
    <w:rsid w:val="0007567F"/>
    <w:rsid w:val="00075BFB"/>
    <w:rsid w:val="000763AA"/>
    <w:rsid w:val="00077356"/>
    <w:rsid w:val="000777C8"/>
    <w:rsid w:val="000803ED"/>
    <w:rsid w:val="00080723"/>
    <w:rsid w:val="00080BC1"/>
    <w:rsid w:val="00080D7A"/>
    <w:rsid w:val="0008149B"/>
    <w:rsid w:val="0008196E"/>
    <w:rsid w:val="0008222A"/>
    <w:rsid w:val="000837CA"/>
    <w:rsid w:val="000840EF"/>
    <w:rsid w:val="00084154"/>
    <w:rsid w:val="00084607"/>
    <w:rsid w:val="00085DE2"/>
    <w:rsid w:val="0008644B"/>
    <w:rsid w:val="0008660F"/>
    <w:rsid w:val="00087E1C"/>
    <w:rsid w:val="00092B00"/>
    <w:rsid w:val="000932AB"/>
    <w:rsid w:val="000939E4"/>
    <w:rsid w:val="00095609"/>
    <w:rsid w:val="00095C74"/>
    <w:rsid w:val="00095DF7"/>
    <w:rsid w:val="00095E1B"/>
    <w:rsid w:val="000965C7"/>
    <w:rsid w:val="00097C6F"/>
    <w:rsid w:val="000A00BD"/>
    <w:rsid w:val="000A1677"/>
    <w:rsid w:val="000A1945"/>
    <w:rsid w:val="000A2626"/>
    <w:rsid w:val="000A3ED4"/>
    <w:rsid w:val="000A5421"/>
    <w:rsid w:val="000A5E0D"/>
    <w:rsid w:val="000A6099"/>
    <w:rsid w:val="000A7041"/>
    <w:rsid w:val="000A7743"/>
    <w:rsid w:val="000A7993"/>
    <w:rsid w:val="000B005F"/>
    <w:rsid w:val="000B00B2"/>
    <w:rsid w:val="000B0700"/>
    <w:rsid w:val="000B160E"/>
    <w:rsid w:val="000B1883"/>
    <w:rsid w:val="000B21FB"/>
    <w:rsid w:val="000B2CD1"/>
    <w:rsid w:val="000B3E73"/>
    <w:rsid w:val="000B5135"/>
    <w:rsid w:val="000B51BB"/>
    <w:rsid w:val="000B535E"/>
    <w:rsid w:val="000B57D9"/>
    <w:rsid w:val="000B5AC3"/>
    <w:rsid w:val="000B6A6C"/>
    <w:rsid w:val="000C09A0"/>
    <w:rsid w:val="000C09E2"/>
    <w:rsid w:val="000C0A7C"/>
    <w:rsid w:val="000C0D49"/>
    <w:rsid w:val="000C1351"/>
    <w:rsid w:val="000C188C"/>
    <w:rsid w:val="000C1B4E"/>
    <w:rsid w:val="000C1E96"/>
    <w:rsid w:val="000C37D9"/>
    <w:rsid w:val="000C3E4D"/>
    <w:rsid w:val="000C427D"/>
    <w:rsid w:val="000C42D6"/>
    <w:rsid w:val="000C4DFE"/>
    <w:rsid w:val="000C511C"/>
    <w:rsid w:val="000C5A35"/>
    <w:rsid w:val="000C5BB0"/>
    <w:rsid w:val="000C5EEB"/>
    <w:rsid w:val="000C68F1"/>
    <w:rsid w:val="000C703D"/>
    <w:rsid w:val="000C718C"/>
    <w:rsid w:val="000C71EB"/>
    <w:rsid w:val="000C729D"/>
    <w:rsid w:val="000D156A"/>
    <w:rsid w:val="000D1A65"/>
    <w:rsid w:val="000D1B00"/>
    <w:rsid w:val="000D2623"/>
    <w:rsid w:val="000D2648"/>
    <w:rsid w:val="000D3475"/>
    <w:rsid w:val="000D497F"/>
    <w:rsid w:val="000D4FD3"/>
    <w:rsid w:val="000D599E"/>
    <w:rsid w:val="000D5D9C"/>
    <w:rsid w:val="000D6935"/>
    <w:rsid w:val="000D6B6C"/>
    <w:rsid w:val="000D6D74"/>
    <w:rsid w:val="000D6F8E"/>
    <w:rsid w:val="000D7A52"/>
    <w:rsid w:val="000E0951"/>
    <w:rsid w:val="000E2A94"/>
    <w:rsid w:val="000E2C55"/>
    <w:rsid w:val="000E2E6E"/>
    <w:rsid w:val="000E2ECF"/>
    <w:rsid w:val="000E30F9"/>
    <w:rsid w:val="000E355A"/>
    <w:rsid w:val="000E3ED9"/>
    <w:rsid w:val="000E4E6D"/>
    <w:rsid w:val="000E5E4C"/>
    <w:rsid w:val="000E66BA"/>
    <w:rsid w:val="000E6832"/>
    <w:rsid w:val="000E71D4"/>
    <w:rsid w:val="000E75C0"/>
    <w:rsid w:val="000F07A0"/>
    <w:rsid w:val="000F1DD1"/>
    <w:rsid w:val="000F2DE9"/>
    <w:rsid w:val="000F37B7"/>
    <w:rsid w:val="000F547F"/>
    <w:rsid w:val="000F5560"/>
    <w:rsid w:val="000F5642"/>
    <w:rsid w:val="000F5837"/>
    <w:rsid w:val="00101206"/>
    <w:rsid w:val="00101322"/>
    <w:rsid w:val="00101D24"/>
    <w:rsid w:val="0010301D"/>
    <w:rsid w:val="0010303F"/>
    <w:rsid w:val="00103098"/>
    <w:rsid w:val="00103827"/>
    <w:rsid w:val="00104704"/>
    <w:rsid w:val="00104E0F"/>
    <w:rsid w:val="00105881"/>
    <w:rsid w:val="001068D1"/>
    <w:rsid w:val="001076FE"/>
    <w:rsid w:val="00107918"/>
    <w:rsid w:val="001115BA"/>
    <w:rsid w:val="001127FB"/>
    <w:rsid w:val="00113166"/>
    <w:rsid w:val="00113E04"/>
    <w:rsid w:val="0011452F"/>
    <w:rsid w:val="00114E86"/>
    <w:rsid w:val="001151B7"/>
    <w:rsid w:val="0011557A"/>
    <w:rsid w:val="00116014"/>
    <w:rsid w:val="001165AD"/>
    <w:rsid w:val="0011757D"/>
    <w:rsid w:val="0012037C"/>
    <w:rsid w:val="00120ED9"/>
    <w:rsid w:val="001217DB"/>
    <w:rsid w:val="00121D37"/>
    <w:rsid w:val="00122838"/>
    <w:rsid w:val="0012296F"/>
    <w:rsid w:val="0012371A"/>
    <w:rsid w:val="00123872"/>
    <w:rsid w:val="00123940"/>
    <w:rsid w:val="00124CA0"/>
    <w:rsid w:val="00124EA2"/>
    <w:rsid w:val="001256AB"/>
    <w:rsid w:val="001257AF"/>
    <w:rsid w:val="00126195"/>
    <w:rsid w:val="00126B78"/>
    <w:rsid w:val="00127740"/>
    <w:rsid w:val="001303B0"/>
    <w:rsid w:val="001309C4"/>
    <w:rsid w:val="00131391"/>
    <w:rsid w:val="001316F2"/>
    <w:rsid w:val="0013238F"/>
    <w:rsid w:val="001338BA"/>
    <w:rsid w:val="00134264"/>
    <w:rsid w:val="001349A3"/>
    <w:rsid w:val="001350CA"/>
    <w:rsid w:val="00140485"/>
    <w:rsid w:val="001404AE"/>
    <w:rsid w:val="0014054B"/>
    <w:rsid w:val="001407AD"/>
    <w:rsid w:val="00140C24"/>
    <w:rsid w:val="00141955"/>
    <w:rsid w:val="001423DE"/>
    <w:rsid w:val="00144577"/>
    <w:rsid w:val="00144900"/>
    <w:rsid w:val="00145139"/>
    <w:rsid w:val="00146E7B"/>
    <w:rsid w:val="001501E7"/>
    <w:rsid w:val="00150457"/>
    <w:rsid w:val="001519A3"/>
    <w:rsid w:val="0015217F"/>
    <w:rsid w:val="001521B1"/>
    <w:rsid w:val="0015247A"/>
    <w:rsid w:val="00152B44"/>
    <w:rsid w:val="00152DC7"/>
    <w:rsid w:val="001531D8"/>
    <w:rsid w:val="001533E5"/>
    <w:rsid w:val="00154423"/>
    <w:rsid w:val="00154A10"/>
    <w:rsid w:val="00154CA2"/>
    <w:rsid w:val="00154E7D"/>
    <w:rsid w:val="001559E1"/>
    <w:rsid w:val="00155CEC"/>
    <w:rsid w:val="00156E21"/>
    <w:rsid w:val="00157001"/>
    <w:rsid w:val="0015703D"/>
    <w:rsid w:val="00157088"/>
    <w:rsid w:val="00157289"/>
    <w:rsid w:val="00157AAA"/>
    <w:rsid w:val="00160221"/>
    <w:rsid w:val="0016081D"/>
    <w:rsid w:val="00161172"/>
    <w:rsid w:val="00161813"/>
    <w:rsid w:val="001618F1"/>
    <w:rsid w:val="00161E7C"/>
    <w:rsid w:val="00163D1B"/>
    <w:rsid w:val="0016475B"/>
    <w:rsid w:val="0016487F"/>
    <w:rsid w:val="00165A91"/>
    <w:rsid w:val="00166E82"/>
    <w:rsid w:val="00167AE7"/>
    <w:rsid w:val="00167B08"/>
    <w:rsid w:val="001707AE"/>
    <w:rsid w:val="00170B1C"/>
    <w:rsid w:val="0017206D"/>
    <w:rsid w:val="00172B96"/>
    <w:rsid w:val="00172E04"/>
    <w:rsid w:val="00173266"/>
    <w:rsid w:val="00173739"/>
    <w:rsid w:val="00173A8F"/>
    <w:rsid w:val="00174562"/>
    <w:rsid w:val="001747A8"/>
    <w:rsid w:val="00174CD3"/>
    <w:rsid w:val="001752AB"/>
    <w:rsid w:val="0017626F"/>
    <w:rsid w:val="001765F7"/>
    <w:rsid w:val="0018188E"/>
    <w:rsid w:val="00181B41"/>
    <w:rsid w:val="00182D7B"/>
    <w:rsid w:val="00183386"/>
    <w:rsid w:val="0018368D"/>
    <w:rsid w:val="001843DE"/>
    <w:rsid w:val="00184B66"/>
    <w:rsid w:val="00184E08"/>
    <w:rsid w:val="00184ED1"/>
    <w:rsid w:val="0018649C"/>
    <w:rsid w:val="00186A90"/>
    <w:rsid w:val="00187404"/>
    <w:rsid w:val="00190121"/>
    <w:rsid w:val="00190AEF"/>
    <w:rsid w:val="00190C69"/>
    <w:rsid w:val="00191644"/>
    <w:rsid w:val="00192C82"/>
    <w:rsid w:val="00192CF9"/>
    <w:rsid w:val="00193665"/>
    <w:rsid w:val="0019368F"/>
    <w:rsid w:val="00196269"/>
    <w:rsid w:val="0019632B"/>
    <w:rsid w:val="0019693E"/>
    <w:rsid w:val="00196CEB"/>
    <w:rsid w:val="001971F7"/>
    <w:rsid w:val="001A04B4"/>
    <w:rsid w:val="001A1132"/>
    <w:rsid w:val="001A34BE"/>
    <w:rsid w:val="001A4C36"/>
    <w:rsid w:val="001A6A15"/>
    <w:rsid w:val="001A6B38"/>
    <w:rsid w:val="001A6F5D"/>
    <w:rsid w:val="001B028E"/>
    <w:rsid w:val="001B0732"/>
    <w:rsid w:val="001B0906"/>
    <w:rsid w:val="001B093B"/>
    <w:rsid w:val="001B11E1"/>
    <w:rsid w:val="001B13E7"/>
    <w:rsid w:val="001B1C75"/>
    <w:rsid w:val="001B1CA5"/>
    <w:rsid w:val="001B1FAA"/>
    <w:rsid w:val="001B1FCA"/>
    <w:rsid w:val="001B25A6"/>
    <w:rsid w:val="001B342C"/>
    <w:rsid w:val="001B3F65"/>
    <w:rsid w:val="001B4E90"/>
    <w:rsid w:val="001B51F3"/>
    <w:rsid w:val="001B5CBA"/>
    <w:rsid w:val="001B5D3C"/>
    <w:rsid w:val="001B5DB0"/>
    <w:rsid w:val="001B6957"/>
    <w:rsid w:val="001B73A3"/>
    <w:rsid w:val="001B7694"/>
    <w:rsid w:val="001B7B2A"/>
    <w:rsid w:val="001B7C02"/>
    <w:rsid w:val="001C0474"/>
    <w:rsid w:val="001C08A7"/>
    <w:rsid w:val="001C0BDC"/>
    <w:rsid w:val="001C132A"/>
    <w:rsid w:val="001C135D"/>
    <w:rsid w:val="001C2609"/>
    <w:rsid w:val="001C399E"/>
    <w:rsid w:val="001C3E40"/>
    <w:rsid w:val="001C4955"/>
    <w:rsid w:val="001C4B76"/>
    <w:rsid w:val="001C7FC7"/>
    <w:rsid w:val="001D12CF"/>
    <w:rsid w:val="001D13F4"/>
    <w:rsid w:val="001D18F3"/>
    <w:rsid w:val="001D211E"/>
    <w:rsid w:val="001D33FB"/>
    <w:rsid w:val="001D4376"/>
    <w:rsid w:val="001D44E2"/>
    <w:rsid w:val="001D4709"/>
    <w:rsid w:val="001D4A06"/>
    <w:rsid w:val="001D517B"/>
    <w:rsid w:val="001D5AF9"/>
    <w:rsid w:val="001D6089"/>
    <w:rsid w:val="001D61B3"/>
    <w:rsid w:val="001D6BCC"/>
    <w:rsid w:val="001D6C29"/>
    <w:rsid w:val="001D6CC1"/>
    <w:rsid w:val="001D6CD7"/>
    <w:rsid w:val="001D6FDC"/>
    <w:rsid w:val="001D702F"/>
    <w:rsid w:val="001D7159"/>
    <w:rsid w:val="001E070C"/>
    <w:rsid w:val="001E085B"/>
    <w:rsid w:val="001E12A0"/>
    <w:rsid w:val="001E15F5"/>
    <w:rsid w:val="001E166B"/>
    <w:rsid w:val="001E1754"/>
    <w:rsid w:val="001E19D4"/>
    <w:rsid w:val="001E1CE7"/>
    <w:rsid w:val="001E268A"/>
    <w:rsid w:val="001E329F"/>
    <w:rsid w:val="001E3796"/>
    <w:rsid w:val="001E5BD7"/>
    <w:rsid w:val="001E7D02"/>
    <w:rsid w:val="001F2701"/>
    <w:rsid w:val="001F3C8A"/>
    <w:rsid w:val="001F4ED0"/>
    <w:rsid w:val="001F5834"/>
    <w:rsid w:val="001F7DB8"/>
    <w:rsid w:val="001F7DDA"/>
    <w:rsid w:val="00202A32"/>
    <w:rsid w:val="00202D36"/>
    <w:rsid w:val="00203FEF"/>
    <w:rsid w:val="002042A2"/>
    <w:rsid w:val="00204D4A"/>
    <w:rsid w:val="00204DAE"/>
    <w:rsid w:val="002051B2"/>
    <w:rsid w:val="0020592A"/>
    <w:rsid w:val="0020593A"/>
    <w:rsid w:val="00205D02"/>
    <w:rsid w:val="00206076"/>
    <w:rsid w:val="0020687A"/>
    <w:rsid w:val="00207068"/>
    <w:rsid w:val="002071B0"/>
    <w:rsid w:val="002075F6"/>
    <w:rsid w:val="002077D7"/>
    <w:rsid w:val="00207895"/>
    <w:rsid w:val="00207ACB"/>
    <w:rsid w:val="00207B4E"/>
    <w:rsid w:val="00207C1D"/>
    <w:rsid w:val="00210A23"/>
    <w:rsid w:val="00211465"/>
    <w:rsid w:val="00211AD1"/>
    <w:rsid w:val="0021233C"/>
    <w:rsid w:val="002128A3"/>
    <w:rsid w:val="002133DC"/>
    <w:rsid w:val="0021541C"/>
    <w:rsid w:val="00216041"/>
    <w:rsid w:val="0021668F"/>
    <w:rsid w:val="0021690A"/>
    <w:rsid w:val="00216F1C"/>
    <w:rsid w:val="00220238"/>
    <w:rsid w:val="00222CA7"/>
    <w:rsid w:val="00223467"/>
    <w:rsid w:val="002238A9"/>
    <w:rsid w:val="002244DB"/>
    <w:rsid w:val="002246AB"/>
    <w:rsid w:val="00224A7D"/>
    <w:rsid w:val="00224BF3"/>
    <w:rsid w:val="002251A9"/>
    <w:rsid w:val="00225365"/>
    <w:rsid w:val="00225DEE"/>
    <w:rsid w:val="0022659A"/>
    <w:rsid w:val="00227738"/>
    <w:rsid w:val="0023109F"/>
    <w:rsid w:val="0023140B"/>
    <w:rsid w:val="00231821"/>
    <w:rsid w:val="0023198C"/>
    <w:rsid w:val="002326FD"/>
    <w:rsid w:val="00232D0C"/>
    <w:rsid w:val="00233078"/>
    <w:rsid w:val="002338D9"/>
    <w:rsid w:val="002343B0"/>
    <w:rsid w:val="00234F92"/>
    <w:rsid w:val="002353A8"/>
    <w:rsid w:val="00237BCC"/>
    <w:rsid w:val="00240672"/>
    <w:rsid w:val="00241787"/>
    <w:rsid w:val="002438C5"/>
    <w:rsid w:val="00244593"/>
    <w:rsid w:val="0024482C"/>
    <w:rsid w:val="00244ED6"/>
    <w:rsid w:val="00245967"/>
    <w:rsid w:val="00245DEB"/>
    <w:rsid w:val="00245F40"/>
    <w:rsid w:val="00246DE1"/>
    <w:rsid w:val="00251381"/>
    <w:rsid w:val="002518FB"/>
    <w:rsid w:val="002527C5"/>
    <w:rsid w:val="00252AC1"/>
    <w:rsid w:val="00252FB0"/>
    <w:rsid w:val="00253A76"/>
    <w:rsid w:val="00253C65"/>
    <w:rsid w:val="00253EA9"/>
    <w:rsid w:val="00254C47"/>
    <w:rsid w:val="00254C79"/>
    <w:rsid w:val="0025640B"/>
    <w:rsid w:val="00256748"/>
    <w:rsid w:val="0025699B"/>
    <w:rsid w:val="0025711B"/>
    <w:rsid w:val="00257DF3"/>
    <w:rsid w:val="00260597"/>
    <w:rsid w:val="0026205C"/>
    <w:rsid w:val="00262F79"/>
    <w:rsid w:val="002639FB"/>
    <w:rsid w:val="002644B8"/>
    <w:rsid w:val="00265033"/>
    <w:rsid w:val="002652F4"/>
    <w:rsid w:val="00265714"/>
    <w:rsid w:val="002661E3"/>
    <w:rsid w:val="00267543"/>
    <w:rsid w:val="00267934"/>
    <w:rsid w:val="002707C2"/>
    <w:rsid w:val="00271A1F"/>
    <w:rsid w:val="00271A81"/>
    <w:rsid w:val="00272741"/>
    <w:rsid w:val="0027430B"/>
    <w:rsid w:val="00274820"/>
    <w:rsid w:val="00274866"/>
    <w:rsid w:val="00274D68"/>
    <w:rsid w:val="00275219"/>
    <w:rsid w:val="00275291"/>
    <w:rsid w:val="00280C65"/>
    <w:rsid w:val="002814B3"/>
    <w:rsid w:val="002838F0"/>
    <w:rsid w:val="00283D94"/>
    <w:rsid w:val="00284D75"/>
    <w:rsid w:val="0028558E"/>
    <w:rsid w:val="00285E30"/>
    <w:rsid w:val="002863F0"/>
    <w:rsid w:val="00286C05"/>
    <w:rsid w:val="00287663"/>
    <w:rsid w:val="0029034B"/>
    <w:rsid w:val="00292C7B"/>
    <w:rsid w:val="00294910"/>
    <w:rsid w:val="002953E0"/>
    <w:rsid w:val="00295A88"/>
    <w:rsid w:val="002966CD"/>
    <w:rsid w:val="00297057"/>
    <w:rsid w:val="00297576"/>
    <w:rsid w:val="00297B49"/>
    <w:rsid w:val="00297EF9"/>
    <w:rsid w:val="002A08D4"/>
    <w:rsid w:val="002A11DF"/>
    <w:rsid w:val="002A1D97"/>
    <w:rsid w:val="002A399B"/>
    <w:rsid w:val="002A404C"/>
    <w:rsid w:val="002A4C73"/>
    <w:rsid w:val="002A5130"/>
    <w:rsid w:val="002A7EF3"/>
    <w:rsid w:val="002B1BCD"/>
    <w:rsid w:val="002B2623"/>
    <w:rsid w:val="002B2AF9"/>
    <w:rsid w:val="002B2BB1"/>
    <w:rsid w:val="002B369C"/>
    <w:rsid w:val="002B4A8A"/>
    <w:rsid w:val="002B4E5C"/>
    <w:rsid w:val="002B4E70"/>
    <w:rsid w:val="002B59B4"/>
    <w:rsid w:val="002B64D9"/>
    <w:rsid w:val="002B71F9"/>
    <w:rsid w:val="002B743B"/>
    <w:rsid w:val="002C04F5"/>
    <w:rsid w:val="002C19A9"/>
    <w:rsid w:val="002C2382"/>
    <w:rsid w:val="002C2D8D"/>
    <w:rsid w:val="002C3007"/>
    <w:rsid w:val="002C4849"/>
    <w:rsid w:val="002C55A8"/>
    <w:rsid w:val="002C5926"/>
    <w:rsid w:val="002C615B"/>
    <w:rsid w:val="002C65D1"/>
    <w:rsid w:val="002C76C2"/>
    <w:rsid w:val="002D145C"/>
    <w:rsid w:val="002D1926"/>
    <w:rsid w:val="002D1C38"/>
    <w:rsid w:val="002D27C8"/>
    <w:rsid w:val="002D2E3B"/>
    <w:rsid w:val="002D41EC"/>
    <w:rsid w:val="002D4942"/>
    <w:rsid w:val="002D6523"/>
    <w:rsid w:val="002D7E22"/>
    <w:rsid w:val="002E0BB3"/>
    <w:rsid w:val="002E18D2"/>
    <w:rsid w:val="002E1D93"/>
    <w:rsid w:val="002E20FF"/>
    <w:rsid w:val="002E32D1"/>
    <w:rsid w:val="002E4756"/>
    <w:rsid w:val="002E4804"/>
    <w:rsid w:val="002E49AA"/>
    <w:rsid w:val="002E4A2B"/>
    <w:rsid w:val="002E53FD"/>
    <w:rsid w:val="002E587F"/>
    <w:rsid w:val="002E66E1"/>
    <w:rsid w:val="002E7FC8"/>
    <w:rsid w:val="002F019E"/>
    <w:rsid w:val="002F0D08"/>
    <w:rsid w:val="002F29A5"/>
    <w:rsid w:val="002F5090"/>
    <w:rsid w:val="002F54C6"/>
    <w:rsid w:val="002F5EE4"/>
    <w:rsid w:val="002F7D11"/>
    <w:rsid w:val="002F7DC3"/>
    <w:rsid w:val="00300E30"/>
    <w:rsid w:val="00301927"/>
    <w:rsid w:val="00301FBF"/>
    <w:rsid w:val="00303644"/>
    <w:rsid w:val="00303E96"/>
    <w:rsid w:val="00304EDD"/>
    <w:rsid w:val="00304F32"/>
    <w:rsid w:val="003052D4"/>
    <w:rsid w:val="00305862"/>
    <w:rsid w:val="00306088"/>
    <w:rsid w:val="00306DB9"/>
    <w:rsid w:val="00306EA8"/>
    <w:rsid w:val="00307DA5"/>
    <w:rsid w:val="00307E27"/>
    <w:rsid w:val="003109FD"/>
    <w:rsid w:val="00310BA9"/>
    <w:rsid w:val="003115DB"/>
    <w:rsid w:val="003122FD"/>
    <w:rsid w:val="003125E3"/>
    <w:rsid w:val="003129C6"/>
    <w:rsid w:val="00312C6B"/>
    <w:rsid w:val="00313127"/>
    <w:rsid w:val="00314339"/>
    <w:rsid w:val="00314D81"/>
    <w:rsid w:val="00315203"/>
    <w:rsid w:val="003165AE"/>
    <w:rsid w:val="00317132"/>
    <w:rsid w:val="00317321"/>
    <w:rsid w:val="00317D53"/>
    <w:rsid w:val="00322063"/>
    <w:rsid w:val="00322912"/>
    <w:rsid w:val="0032300B"/>
    <w:rsid w:val="0032382A"/>
    <w:rsid w:val="00323FEB"/>
    <w:rsid w:val="0032480D"/>
    <w:rsid w:val="00324862"/>
    <w:rsid w:val="00325E72"/>
    <w:rsid w:val="0033046C"/>
    <w:rsid w:val="00331026"/>
    <w:rsid w:val="003316DA"/>
    <w:rsid w:val="0033380F"/>
    <w:rsid w:val="00333D0D"/>
    <w:rsid w:val="00333DEE"/>
    <w:rsid w:val="00333F72"/>
    <w:rsid w:val="0033513D"/>
    <w:rsid w:val="003352EB"/>
    <w:rsid w:val="00335CB0"/>
    <w:rsid w:val="00337F25"/>
    <w:rsid w:val="00340948"/>
    <w:rsid w:val="00341385"/>
    <w:rsid w:val="0034176A"/>
    <w:rsid w:val="00341850"/>
    <w:rsid w:val="00341D13"/>
    <w:rsid w:val="00342D95"/>
    <w:rsid w:val="00343371"/>
    <w:rsid w:val="003438EF"/>
    <w:rsid w:val="00344336"/>
    <w:rsid w:val="00344771"/>
    <w:rsid w:val="00344A22"/>
    <w:rsid w:val="003455C8"/>
    <w:rsid w:val="00345E44"/>
    <w:rsid w:val="00346AAC"/>
    <w:rsid w:val="00346AAF"/>
    <w:rsid w:val="003472DC"/>
    <w:rsid w:val="00347421"/>
    <w:rsid w:val="00350BE1"/>
    <w:rsid w:val="00353C0D"/>
    <w:rsid w:val="0035529E"/>
    <w:rsid w:val="003553E4"/>
    <w:rsid w:val="00355A50"/>
    <w:rsid w:val="00356817"/>
    <w:rsid w:val="00356845"/>
    <w:rsid w:val="00356F34"/>
    <w:rsid w:val="0035743B"/>
    <w:rsid w:val="0036072A"/>
    <w:rsid w:val="00361105"/>
    <w:rsid w:val="003619D2"/>
    <w:rsid w:val="003621EC"/>
    <w:rsid w:val="00362546"/>
    <w:rsid w:val="003628FD"/>
    <w:rsid w:val="00362965"/>
    <w:rsid w:val="003629FA"/>
    <w:rsid w:val="00362B17"/>
    <w:rsid w:val="00362F3F"/>
    <w:rsid w:val="003631FF"/>
    <w:rsid w:val="00363AC8"/>
    <w:rsid w:val="00364167"/>
    <w:rsid w:val="003655E5"/>
    <w:rsid w:val="0036607D"/>
    <w:rsid w:val="0036615B"/>
    <w:rsid w:val="003668B1"/>
    <w:rsid w:val="00370133"/>
    <w:rsid w:val="003707FA"/>
    <w:rsid w:val="0037163C"/>
    <w:rsid w:val="003716EB"/>
    <w:rsid w:val="0037233D"/>
    <w:rsid w:val="00372517"/>
    <w:rsid w:val="003731C7"/>
    <w:rsid w:val="00373BB1"/>
    <w:rsid w:val="0037407A"/>
    <w:rsid w:val="0037585A"/>
    <w:rsid w:val="00375DE8"/>
    <w:rsid w:val="00376E55"/>
    <w:rsid w:val="00377282"/>
    <w:rsid w:val="00377461"/>
    <w:rsid w:val="0037791A"/>
    <w:rsid w:val="0038180E"/>
    <w:rsid w:val="00381C2E"/>
    <w:rsid w:val="0038388D"/>
    <w:rsid w:val="00383CE5"/>
    <w:rsid w:val="003863D5"/>
    <w:rsid w:val="00386672"/>
    <w:rsid w:val="00390559"/>
    <w:rsid w:val="00390ADA"/>
    <w:rsid w:val="00390BC4"/>
    <w:rsid w:val="0039150F"/>
    <w:rsid w:val="00391941"/>
    <w:rsid w:val="00391E39"/>
    <w:rsid w:val="0039345A"/>
    <w:rsid w:val="003938AB"/>
    <w:rsid w:val="003940B3"/>
    <w:rsid w:val="003944F6"/>
    <w:rsid w:val="00395560"/>
    <w:rsid w:val="00395DC6"/>
    <w:rsid w:val="00395F61"/>
    <w:rsid w:val="00395FFC"/>
    <w:rsid w:val="00396650"/>
    <w:rsid w:val="00396B84"/>
    <w:rsid w:val="003977AE"/>
    <w:rsid w:val="003A17CE"/>
    <w:rsid w:val="003A1A5C"/>
    <w:rsid w:val="003A213E"/>
    <w:rsid w:val="003A2158"/>
    <w:rsid w:val="003A265E"/>
    <w:rsid w:val="003A2DCF"/>
    <w:rsid w:val="003A3AA7"/>
    <w:rsid w:val="003A3C14"/>
    <w:rsid w:val="003A3CF2"/>
    <w:rsid w:val="003A3F5F"/>
    <w:rsid w:val="003A4204"/>
    <w:rsid w:val="003A4A78"/>
    <w:rsid w:val="003A4EFF"/>
    <w:rsid w:val="003A4FF3"/>
    <w:rsid w:val="003A54C3"/>
    <w:rsid w:val="003A5501"/>
    <w:rsid w:val="003A6E67"/>
    <w:rsid w:val="003A728F"/>
    <w:rsid w:val="003A7A7B"/>
    <w:rsid w:val="003B02BA"/>
    <w:rsid w:val="003B03A2"/>
    <w:rsid w:val="003B1200"/>
    <w:rsid w:val="003B1640"/>
    <w:rsid w:val="003B20EC"/>
    <w:rsid w:val="003B2ECB"/>
    <w:rsid w:val="003B3756"/>
    <w:rsid w:val="003B3C36"/>
    <w:rsid w:val="003B40C8"/>
    <w:rsid w:val="003B4D9F"/>
    <w:rsid w:val="003B57F0"/>
    <w:rsid w:val="003B6071"/>
    <w:rsid w:val="003B6367"/>
    <w:rsid w:val="003B63B6"/>
    <w:rsid w:val="003B6598"/>
    <w:rsid w:val="003B69B2"/>
    <w:rsid w:val="003B765F"/>
    <w:rsid w:val="003B78D6"/>
    <w:rsid w:val="003C087D"/>
    <w:rsid w:val="003C2E9B"/>
    <w:rsid w:val="003C33E3"/>
    <w:rsid w:val="003C51C8"/>
    <w:rsid w:val="003C550F"/>
    <w:rsid w:val="003C6198"/>
    <w:rsid w:val="003C684B"/>
    <w:rsid w:val="003C7EB8"/>
    <w:rsid w:val="003D1C43"/>
    <w:rsid w:val="003D332B"/>
    <w:rsid w:val="003D460A"/>
    <w:rsid w:val="003D46AA"/>
    <w:rsid w:val="003D4AD2"/>
    <w:rsid w:val="003D4C89"/>
    <w:rsid w:val="003D57BC"/>
    <w:rsid w:val="003D6A0C"/>
    <w:rsid w:val="003D6FE1"/>
    <w:rsid w:val="003E0857"/>
    <w:rsid w:val="003E0E36"/>
    <w:rsid w:val="003E0F9A"/>
    <w:rsid w:val="003E21CA"/>
    <w:rsid w:val="003E2506"/>
    <w:rsid w:val="003E30EC"/>
    <w:rsid w:val="003E3FF9"/>
    <w:rsid w:val="003E4257"/>
    <w:rsid w:val="003E4577"/>
    <w:rsid w:val="003E4616"/>
    <w:rsid w:val="003E4D85"/>
    <w:rsid w:val="003E50F3"/>
    <w:rsid w:val="003E5B7A"/>
    <w:rsid w:val="003E63BC"/>
    <w:rsid w:val="003E6FDD"/>
    <w:rsid w:val="003E7C7D"/>
    <w:rsid w:val="003F0140"/>
    <w:rsid w:val="003F05B3"/>
    <w:rsid w:val="003F2047"/>
    <w:rsid w:val="003F241E"/>
    <w:rsid w:val="003F28AD"/>
    <w:rsid w:val="003F292B"/>
    <w:rsid w:val="003F37FE"/>
    <w:rsid w:val="003F3FE6"/>
    <w:rsid w:val="003F4047"/>
    <w:rsid w:val="003F5AF7"/>
    <w:rsid w:val="003F66E1"/>
    <w:rsid w:val="004005D4"/>
    <w:rsid w:val="004007B0"/>
    <w:rsid w:val="00400C33"/>
    <w:rsid w:val="00400D33"/>
    <w:rsid w:val="004011A4"/>
    <w:rsid w:val="00403A07"/>
    <w:rsid w:val="00403BB9"/>
    <w:rsid w:val="004045B9"/>
    <w:rsid w:val="00405775"/>
    <w:rsid w:val="00405A20"/>
    <w:rsid w:val="00406796"/>
    <w:rsid w:val="0041005A"/>
    <w:rsid w:val="00410697"/>
    <w:rsid w:val="004120BE"/>
    <w:rsid w:val="00413446"/>
    <w:rsid w:val="00413BC1"/>
    <w:rsid w:val="00414D9D"/>
    <w:rsid w:val="004162E8"/>
    <w:rsid w:val="0041763E"/>
    <w:rsid w:val="00420054"/>
    <w:rsid w:val="0042026F"/>
    <w:rsid w:val="004230CF"/>
    <w:rsid w:val="00423622"/>
    <w:rsid w:val="004236FD"/>
    <w:rsid w:val="0042487C"/>
    <w:rsid w:val="0042499B"/>
    <w:rsid w:val="00424F0E"/>
    <w:rsid w:val="004251E8"/>
    <w:rsid w:val="004257B3"/>
    <w:rsid w:val="004257CF"/>
    <w:rsid w:val="00425C79"/>
    <w:rsid w:val="0042656E"/>
    <w:rsid w:val="00426A06"/>
    <w:rsid w:val="0042748E"/>
    <w:rsid w:val="004274DA"/>
    <w:rsid w:val="00427CA9"/>
    <w:rsid w:val="004307DF"/>
    <w:rsid w:val="00430BD9"/>
    <w:rsid w:val="004323DA"/>
    <w:rsid w:val="00432E57"/>
    <w:rsid w:val="004346E1"/>
    <w:rsid w:val="00435BD7"/>
    <w:rsid w:val="00436A4C"/>
    <w:rsid w:val="00437C3F"/>
    <w:rsid w:val="00440166"/>
    <w:rsid w:val="00440264"/>
    <w:rsid w:val="00441432"/>
    <w:rsid w:val="00441615"/>
    <w:rsid w:val="00442289"/>
    <w:rsid w:val="00442858"/>
    <w:rsid w:val="00442C0D"/>
    <w:rsid w:val="00442D3C"/>
    <w:rsid w:val="00442E53"/>
    <w:rsid w:val="0044312C"/>
    <w:rsid w:val="00443318"/>
    <w:rsid w:val="0044356D"/>
    <w:rsid w:val="00443CA0"/>
    <w:rsid w:val="004440D3"/>
    <w:rsid w:val="00444EC9"/>
    <w:rsid w:val="004450A5"/>
    <w:rsid w:val="004463DB"/>
    <w:rsid w:val="00446EDE"/>
    <w:rsid w:val="00447DB5"/>
    <w:rsid w:val="00447E0B"/>
    <w:rsid w:val="004501E8"/>
    <w:rsid w:val="00450481"/>
    <w:rsid w:val="004506EB"/>
    <w:rsid w:val="00451223"/>
    <w:rsid w:val="00451B06"/>
    <w:rsid w:val="00451E9D"/>
    <w:rsid w:val="00451EA6"/>
    <w:rsid w:val="00451F88"/>
    <w:rsid w:val="00453A26"/>
    <w:rsid w:val="00453B15"/>
    <w:rsid w:val="00453CD7"/>
    <w:rsid w:val="00454C56"/>
    <w:rsid w:val="004552EB"/>
    <w:rsid w:val="00456BA2"/>
    <w:rsid w:val="0045720E"/>
    <w:rsid w:val="004576B3"/>
    <w:rsid w:val="004576DC"/>
    <w:rsid w:val="00457A01"/>
    <w:rsid w:val="00457AF7"/>
    <w:rsid w:val="00460B58"/>
    <w:rsid w:val="0046131F"/>
    <w:rsid w:val="00461385"/>
    <w:rsid w:val="004621AA"/>
    <w:rsid w:val="00462694"/>
    <w:rsid w:val="00463CD1"/>
    <w:rsid w:val="004643F8"/>
    <w:rsid w:val="00464692"/>
    <w:rsid w:val="004651A2"/>
    <w:rsid w:val="00465565"/>
    <w:rsid w:val="00465E38"/>
    <w:rsid w:val="004670D1"/>
    <w:rsid w:val="00467FD2"/>
    <w:rsid w:val="00471961"/>
    <w:rsid w:val="00473605"/>
    <w:rsid w:val="00473607"/>
    <w:rsid w:val="0047551E"/>
    <w:rsid w:val="0047599C"/>
    <w:rsid w:val="00475D53"/>
    <w:rsid w:val="004762BE"/>
    <w:rsid w:val="00476483"/>
    <w:rsid w:val="004810F1"/>
    <w:rsid w:val="004817A4"/>
    <w:rsid w:val="00481DBC"/>
    <w:rsid w:val="00482790"/>
    <w:rsid w:val="00482D05"/>
    <w:rsid w:val="00482DAF"/>
    <w:rsid w:val="004830DC"/>
    <w:rsid w:val="00483F8E"/>
    <w:rsid w:val="00485283"/>
    <w:rsid w:val="0048541A"/>
    <w:rsid w:val="00486C5C"/>
    <w:rsid w:val="00487240"/>
    <w:rsid w:val="004910C7"/>
    <w:rsid w:val="004917ED"/>
    <w:rsid w:val="00492164"/>
    <w:rsid w:val="004923F7"/>
    <w:rsid w:val="00493BCF"/>
    <w:rsid w:val="0049514C"/>
    <w:rsid w:val="004956E6"/>
    <w:rsid w:val="00495DA2"/>
    <w:rsid w:val="00497BBC"/>
    <w:rsid w:val="004A2697"/>
    <w:rsid w:val="004A2910"/>
    <w:rsid w:val="004A3290"/>
    <w:rsid w:val="004A32FC"/>
    <w:rsid w:val="004A330C"/>
    <w:rsid w:val="004A35D5"/>
    <w:rsid w:val="004A3C01"/>
    <w:rsid w:val="004A3C5F"/>
    <w:rsid w:val="004A49BF"/>
    <w:rsid w:val="004A4B77"/>
    <w:rsid w:val="004A5B93"/>
    <w:rsid w:val="004A5C28"/>
    <w:rsid w:val="004B078E"/>
    <w:rsid w:val="004B13E8"/>
    <w:rsid w:val="004B22C8"/>
    <w:rsid w:val="004B28C2"/>
    <w:rsid w:val="004B3FD9"/>
    <w:rsid w:val="004B594E"/>
    <w:rsid w:val="004B5BE3"/>
    <w:rsid w:val="004B5C75"/>
    <w:rsid w:val="004B6842"/>
    <w:rsid w:val="004B6F8F"/>
    <w:rsid w:val="004B7703"/>
    <w:rsid w:val="004B780D"/>
    <w:rsid w:val="004C02E4"/>
    <w:rsid w:val="004C097E"/>
    <w:rsid w:val="004C114C"/>
    <w:rsid w:val="004C1450"/>
    <w:rsid w:val="004C2000"/>
    <w:rsid w:val="004C303E"/>
    <w:rsid w:val="004C311C"/>
    <w:rsid w:val="004C402A"/>
    <w:rsid w:val="004C4768"/>
    <w:rsid w:val="004C521B"/>
    <w:rsid w:val="004C5361"/>
    <w:rsid w:val="004C56C7"/>
    <w:rsid w:val="004C59A1"/>
    <w:rsid w:val="004C5CEC"/>
    <w:rsid w:val="004C6665"/>
    <w:rsid w:val="004D0A37"/>
    <w:rsid w:val="004D1200"/>
    <w:rsid w:val="004D2349"/>
    <w:rsid w:val="004D3114"/>
    <w:rsid w:val="004D5711"/>
    <w:rsid w:val="004D61E5"/>
    <w:rsid w:val="004D6577"/>
    <w:rsid w:val="004D6B81"/>
    <w:rsid w:val="004D720F"/>
    <w:rsid w:val="004E02C8"/>
    <w:rsid w:val="004E0624"/>
    <w:rsid w:val="004E0BAF"/>
    <w:rsid w:val="004E0EF5"/>
    <w:rsid w:val="004E1BF6"/>
    <w:rsid w:val="004E2641"/>
    <w:rsid w:val="004E2F11"/>
    <w:rsid w:val="004E34EC"/>
    <w:rsid w:val="004E3EBD"/>
    <w:rsid w:val="004E3FBD"/>
    <w:rsid w:val="004E4E67"/>
    <w:rsid w:val="004E54E3"/>
    <w:rsid w:val="004E6563"/>
    <w:rsid w:val="004E6569"/>
    <w:rsid w:val="004E7BD1"/>
    <w:rsid w:val="004F08F4"/>
    <w:rsid w:val="004F14F2"/>
    <w:rsid w:val="004F186B"/>
    <w:rsid w:val="004F19EF"/>
    <w:rsid w:val="004F1FD7"/>
    <w:rsid w:val="004F27F3"/>
    <w:rsid w:val="004F3969"/>
    <w:rsid w:val="004F3F11"/>
    <w:rsid w:val="004F48C9"/>
    <w:rsid w:val="004F4C6F"/>
    <w:rsid w:val="004F4EEB"/>
    <w:rsid w:val="004F4F5F"/>
    <w:rsid w:val="004F50AE"/>
    <w:rsid w:val="004F5496"/>
    <w:rsid w:val="004F5562"/>
    <w:rsid w:val="004F567A"/>
    <w:rsid w:val="004F5D60"/>
    <w:rsid w:val="004F6ACA"/>
    <w:rsid w:val="004F6C41"/>
    <w:rsid w:val="004F7198"/>
    <w:rsid w:val="004F74E0"/>
    <w:rsid w:val="004F798E"/>
    <w:rsid w:val="0050030C"/>
    <w:rsid w:val="00503317"/>
    <w:rsid w:val="00503386"/>
    <w:rsid w:val="005035B1"/>
    <w:rsid w:val="00503B00"/>
    <w:rsid w:val="00504DF3"/>
    <w:rsid w:val="00505521"/>
    <w:rsid w:val="005055C9"/>
    <w:rsid w:val="00505B34"/>
    <w:rsid w:val="00505C07"/>
    <w:rsid w:val="005067A4"/>
    <w:rsid w:val="0050748A"/>
    <w:rsid w:val="00507C36"/>
    <w:rsid w:val="00511FD3"/>
    <w:rsid w:val="00512771"/>
    <w:rsid w:val="00512B99"/>
    <w:rsid w:val="005132E1"/>
    <w:rsid w:val="00514986"/>
    <w:rsid w:val="005156B4"/>
    <w:rsid w:val="005158A8"/>
    <w:rsid w:val="00515C45"/>
    <w:rsid w:val="0051685E"/>
    <w:rsid w:val="00516E45"/>
    <w:rsid w:val="005171B0"/>
    <w:rsid w:val="00517780"/>
    <w:rsid w:val="0051789A"/>
    <w:rsid w:val="0052049A"/>
    <w:rsid w:val="005210AE"/>
    <w:rsid w:val="005216A5"/>
    <w:rsid w:val="0052313D"/>
    <w:rsid w:val="005231F1"/>
    <w:rsid w:val="00523264"/>
    <w:rsid w:val="0052515B"/>
    <w:rsid w:val="00525AC4"/>
    <w:rsid w:val="00525F2E"/>
    <w:rsid w:val="00526390"/>
    <w:rsid w:val="005265E6"/>
    <w:rsid w:val="00530957"/>
    <w:rsid w:val="00531AF4"/>
    <w:rsid w:val="00531B5A"/>
    <w:rsid w:val="0053341E"/>
    <w:rsid w:val="00534D29"/>
    <w:rsid w:val="00535A86"/>
    <w:rsid w:val="00537464"/>
    <w:rsid w:val="00537899"/>
    <w:rsid w:val="00537C77"/>
    <w:rsid w:val="00537D1F"/>
    <w:rsid w:val="00540431"/>
    <w:rsid w:val="00541C55"/>
    <w:rsid w:val="0054261A"/>
    <w:rsid w:val="005435A9"/>
    <w:rsid w:val="00543B97"/>
    <w:rsid w:val="00544F31"/>
    <w:rsid w:val="005459BA"/>
    <w:rsid w:val="00546B70"/>
    <w:rsid w:val="00547004"/>
    <w:rsid w:val="00547D1E"/>
    <w:rsid w:val="00550E5E"/>
    <w:rsid w:val="00551B51"/>
    <w:rsid w:val="0055242C"/>
    <w:rsid w:val="00552B72"/>
    <w:rsid w:val="00552C8D"/>
    <w:rsid w:val="0055391D"/>
    <w:rsid w:val="00553927"/>
    <w:rsid w:val="005549DF"/>
    <w:rsid w:val="00554B31"/>
    <w:rsid w:val="00554E99"/>
    <w:rsid w:val="00555D0F"/>
    <w:rsid w:val="005567B9"/>
    <w:rsid w:val="00556A50"/>
    <w:rsid w:val="005572B9"/>
    <w:rsid w:val="0055748B"/>
    <w:rsid w:val="005574ED"/>
    <w:rsid w:val="00562060"/>
    <w:rsid w:val="0056216A"/>
    <w:rsid w:val="00563D68"/>
    <w:rsid w:val="00563EE8"/>
    <w:rsid w:val="00564365"/>
    <w:rsid w:val="0056531A"/>
    <w:rsid w:val="005660D9"/>
    <w:rsid w:val="00566408"/>
    <w:rsid w:val="0056649C"/>
    <w:rsid w:val="00566834"/>
    <w:rsid w:val="0056733A"/>
    <w:rsid w:val="00567617"/>
    <w:rsid w:val="0057026A"/>
    <w:rsid w:val="0057104E"/>
    <w:rsid w:val="00571568"/>
    <w:rsid w:val="00572AC7"/>
    <w:rsid w:val="00572CED"/>
    <w:rsid w:val="00573340"/>
    <w:rsid w:val="00573510"/>
    <w:rsid w:val="0057368A"/>
    <w:rsid w:val="00574777"/>
    <w:rsid w:val="0057513A"/>
    <w:rsid w:val="00575B83"/>
    <w:rsid w:val="00575C82"/>
    <w:rsid w:val="005760C1"/>
    <w:rsid w:val="005760E2"/>
    <w:rsid w:val="00580BC8"/>
    <w:rsid w:val="00581A81"/>
    <w:rsid w:val="00581D12"/>
    <w:rsid w:val="005826CC"/>
    <w:rsid w:val="00582C3F"/>
    <w:rsid w:val="00583A5A"/>
    <w:rsid w:val="00583FCC"/>
    <w:rsid w:val="005849D6"/>
    <w:rsid w:val="00584E41"/>
    <w:rsid w:val="00585F07"/>
    <w:rsid w:val="00586B9D"/>
    <w:rsid w:val="00587FA1"/>
    <w:rsid w:val="00590D99"/>
    <w:rsid w:val="00591828"/>
    <w:rsid w:val="005949AA"/>
    <w:rsid w:val="005962FC"/>
    <w:rsid w:val="00596C09"/>
    <w:rsid w:val="0059738D"/>
    <w:rsid w:val="005A24BC"/>
    <w:rsid w:val="005A2AD6"/>
    <w:rsid w:val="005A36B4"/>
    <w:rsid w:val="005A3B8E"/>
    <w:rsid w:val="005A3E80"/>
    <w:rsid w:val="005A443E"/>
    <w:rsid w:val="005A4DAA"/>
    <w:rsid w:val="005A4FA6"/>
    <w:rsid w:val="005A5200"/>
    <w:rsid w:val="005A5418"/>
    <w:rsid w:val="005A642B"/>
    <w:rsid w:val="005A6477"/>
    <w:rsid w:val="005A656A"/>
    <w:rsid w:val="005B1E86"/>
    <w:rsid w:val="005B20DC"/>
    <w:rsid w:val="005B221F"/>
    <w:rsid w:val="005B348D"/>
    <w:rsid w:val="005B3E8D"/>
    <w:rsid w:val="005B4CA2"/>
    <w:rsid w:val="005B4DFA"/>
    <w:rsid w:val="005B675D"/>
    <w:rsid w:val="005C157C"/>
    <w:rsid w:val="005C1767"/>
    <w:rsid w:val="005C180D"/>
    <w:rsid w:val="005C1B47"/>
    <w:rsid w:val="005C30AA"/>
    <w:rsid w:val="005C3610"/>
    <w:rsid w:val="005C3FF7"/>
    <w:rsid w:val="005C4E02"/>
    <w:rsid w:val="005C502E"/>
    <w:rsid w:val="005C52BD"/>
    <w:rsid w:val="005C550B"/>
    <w:rsid w:val="005C61A8"/>
    <w:rsid w:val="005C66C8"/>
    <w:rsid w:val="005C6790"/>
    <w:rsid w:val="005C6955"/>
    <w:rsid w:val="005D000D"/>
    <w:rsid w:val="005D0E3B"/>
    <w:rsid w:val="005D1996"/>
    <w:rsid w:val="005D2146"/>
    <w:rsid w:val="005D2357"/>
    <w:rsid w:val="005D31FA"/>
    <w:rsid w:val="005D4362"/>
    <w:rsid w:val="005D4763"/>
    <w:rsid w:val="005D4A6F"/>
    <w:rsid w:val="005D5DC0"/>
    <w:rsid w:val="005D5DE0"/>
    <w:rsid w:val="005D60B9"/>
    <w:rsid w:val="005D6C83"/>
    <w:rsid w:val="005D6CA8"/>
    <w:rsid w:val="005D6DD2"/>
    <w:rsid w:val="005D73C0"/>
    <w:rsid w:val="005E1010"/>
    <w:rsid w:val="005E1DC8"/>
    <w:rsid w:val="005E1F40"/>
    <w:rsid w:val="005E27E8"/>
    <w:rsid w:val="005E3026"/>
    <w:rsid w:val="005E4129"/>
    <w:rsid w:val="005E419D"/>
    <w:rsid w:val="005E45FB"/>
    <w:rsid w:val="005E6C42"/>
    <w:rsid w:val="005E6CA6"/>
    <w:rsid w:val="005F0372"/>
    <w:rsid w:val="005F2EEF"/>
    <w:rsid w:val="005F2F3C"/>
    <w:rsid w:val="005F3825"/>
    <w:rsid w:val="005F4521"/>
    <w:rsid w:val="005F45F9"/>
    <w:rsid w:val="005F4703"/>
    <w:rsid w:val="005F4B02"/>
    <w:rsid w:val="005F56ED"/>
    <w:rsid w:val="005F61A8"/>
    <w:rsid w:val="005F641A"/>
    <w:rsid w:val="005F6C6F"/>
    <w:rsid w:val="005F6FDB"/>
    <w:rsid w:val="005F7BDB"/>
    <w:rsid w:val="005F7E55"/>
    <w:rsid w:val="00600A19"/>
    <w:rsid w:val="006011AD"/>
    <w:rsid w:val="006014DC"/>
    <w:rsid w:val="0060294D"/>
    <w:rsid w:val="00604153"/>
    <w:rsid w:val="00607757"/>
    <w:rsid w:val="00610A1E"/>
    <w:rsid w:val="00611678"/>
    <w:rsid w:val="00611B5E"/>
    <w:rsid w:val="00611D2D"/>
    <w:rsid w:val="00612463"/>
    <w:rsid w:val="00612C09"/>
    <w:rsid w:val="0061315A"/>
    <w:rsid w:val="0061394B"/>
    <w:rsid w:val="006141C1"/>
    <w:rsid w:val="00614EFF"/>
    <w:rsid w:val="00615E1C"/>
    <w:rsid w:val="0061630E"/>
    <w:rsid w:val="00616C84"/>
    <w:rsid w:val="00616DF0"/>
    <w:rsid w:val="006172EC"/>
    <w:rsid w:val="00617807"/>
    <w:rsid w:val="00617E16"/>
    <w:rsid w:val="006208F0"/>
    <w:rsid w:val="00621944"/>
    <w:rsid w:val="00621FF7"/>
    <w:rsid w:val="00622888"/>
    <w:rsid w:val="00622A8A"/>
    <w:rsid w:val="00622E64"/>
    <w:rsid w:val="00622F9D"/>
    <w:rsid w:val="006232D1"/>
    <w:rsid w:val="0062353D"/>
    <w:rsid w:val="00623C23"/>
    <w:rsid w:val="00624BD4"/>
    <w:rsid w:val="00624F6A"/>
    <w:rsid w:val="00625AE1"/>
    <w:rsid w:val="00625B6D"/>
    <w:rsid w:val="006260C5"/>
    <w:rsid w:val="006262D7"/>
    <w:rsid w:val="0062726A"/>
    <w:rsid w:val="00627700"/>
    <w:rsid w:val="00630458"/>
    <w:rsid w:val="00630547"/>
    <w:rsid w:val="006309EA"/>
    <w:rsid w:val="0063197C"/>
    <w:rsid w:val="0063224A"/>
    <w:rsid w:val="006334AC"/>
    <w:rsid w:val="0063693A"/>
    <w:rsid w:val="006370BC"/>
    <w:rsid w:val="006379E9"/>
    <w:rsid w:val="006403DC"/>
    <w:rsid w:val="006404F0"/>
    <w:rsid w:val="0064076F"/>
    <w:rsid w:val="006418A6"/>
    <w:rsid w:val="00641C8B"/>
    <w:rsid w:val="006422FA"/>
    <w:rsid w:val="00642580"/>
    <w:rsid w:val="00642AF7"/>
    <w:rsid w:val="00643967"/>
    <w:rsid w:val="00643ADB"/>
    <w:rsid w:val="0064420C"/>
    <w:rsid w:val="00644258"/>
    <w:rsid w:val="0064457C"/>
    <w:rsid w:val="00644C32"/>
    <w:rsid w:val="00644E34"/>
    <w:rsid w:val="00646B9E"/>
    <w:rsid w:val="00647B45"/>
    <w:rsid w:val="00652D5E"/>
    <w:rsid w:val="006533D5"/>
    <w:rsid w:val="00654248"/>
    <w:rsid w:val="00654579"/>
    <w:rsid w:val="00654813"/>
    <w:rsid w:val="00654B14"/>
    <w:rsid w:val="00655034"/>
    <w:rsid w:val="0065562E"/>
    <w:rsid w:val="006556D8"/>
    <w:rsid w:val="00656435"/>
    <w:rsid w:val="00660A4D"/>
    <w:rsid w:val="00661CF9"/>
    <w:rsid w:val="00662658"/>
    <w:rsid w:val="006635FC"/>
    <w:rsid w:val="00664F3C"/>
    <w:rsid w:val="006658F9"/>
    <w:rsid w:val="00665B58"/>
    <w:rsid w:val="00665BC8"/>
    <w:rsid w:val="00666360"/>
    <w:rsid w:val="00670191"/>
    <w:rsid w:val="00670303"/>
    <w:rsid w:val="00670E9D"/>
    <w:rsid w:val="00670ED4"/>
    <w:rsid w:val="00672728"/>
    <w:rsid w:val="0067274E"/>
    <w:rsid w:val="0067284C"/>
    <w:rsid w:val="006730F0"/>
    <w:rsid w:val="00673144"/>
    <w:rsid w:val="00673993"/>
    <w:rsid w:val="00673ACD"/>
    <w:rsid w:val="006746EB"/>
    <w:rsid w:val="00675532"/>
    <w:rsid w:val="00675571"/>
    <w:rsid w:val="00677E51"/>
    <w:rsid w:val="006809F7"/>
    <w:rsid w:val="00680AD7"/>
    <w:rsid w:val="00681430"/>
    <w:rsid w:val="0068155C"/>
    <w:rsid w:val="00681D90"/>
    <w:rsid w:val="00682C59"/>
    <w:rsid w:val="00683043"/>
    <w:rsid w:val="00683810"/>
    <w:rsid w:val="00684BD6"/>
    <w:rsid w:val="00684D6A"/>
    <w:rsid w:val="00684F56"/>
    <w:rsid w:val="006850AA"/>
    <w:rsid w:val="0068510A"/>
    <w:rsid w:val="00686345"/>
    <w:rsid w:val="0068696A"/>
    <w:rsid w:val="006869F8"/>
    <w:rsid w:val="00687C9D"/>
    <w:rsid w:val="0069044D"/>
    <w:rsid w:val="006907A8"/>
    <w:rsid w:val="00691AC9"/>
    <w:rsid w:val="00692417"/>
    <w:rsid w:val="00692490"/>
    <w:rsid w:val="00692A1E"/>
    <w:rsid w:val="006935CA"/>
    <w:rsid w:val="00693699"/>
    <w:rsid w:val="00694682"/>
    <w:rsid w:val="006947AC"/>
    <w:rsid w:val="00695C3A"/>
    <w:rsid w:val="00696386"/>
    <w:rsid w:val="00697879"/>
    <w:rsid w:val="006A141E"/>
    <w:rsid w:val="006A1537"/>
    <w:rsid w:val="006A1E69"/>
    <w:rsid w:val="006A2EC0"/>
    <w:rsid w:val="006A2FB5"/>
    <w:rsid w:val="006A3177"/>
    <w:rsid w:val="006A3418"/>
    <w:rsid w:val="006A3875"/>
    <w:rsid w:val="006A49F6"/>
    <w:rsid w:val="006A4D7F"/>
    <w:rsid w:val="006A627C"/>
    <w:rsid w:val="006A73DA"/>
    <w:rsid w:val="006A7AD4"/>
    <w:rsid w:val="006A7DD7"/>
    <w:rsid w:val="006B0080"/>
    <w:rsid w:val="006B04AD"/>
    <w:rsid w:val="006B1517"/>
    <w:rsid w:val="006B2A47"/>
    <w:rsid w:val="006B2AE5"/>
    <w:rsid w:val="006B3B58"/>
    <w:rsid w:val="006B5F8F"/>
    <w:rsid w:val="006B6051"/>
    <w:rsid w:val="006B6EEB"/>
    <w:rsid w:val="006B7118"/>
    <w:rsid w:val="006B72AA"/>
    <w:rsid w:val="006B7D35"/>
    <w:rsid w:val="006B7EBD"/>
    <w:rsid w:val="006C0933"/>
    <w:rsid w:val="006C13B1"/>
    <w:rsid w:val="006C1734"/>
    <w:rsid w:val="006C726F"/>
    <w:rsid w:val="006D35B5"/>
    <w:rsid w:val="006D434A"/>
    <w:rsid w:val="006D44A1"/>
    <w:rsid w:val="006D4E93"/>
    <w:rsid w:val="006D5CF3"/>
    <w:rsid w:val="006D5DA2"/>
    <w:rsid w:val="006D625E"/>
    <w:rsid w:val="006D734D"/>
    <w:rsid w:val="006D76D8"/>
    <w:rsid w:val="006E0BE1"/>
    <w:rsid w:val="006E18CC"/>
    <w:rsid w:val="006E1A65"/>
    <w:rsid w:val="006E2F6C"/>
    <w:rsid w:val="006E3583"/>
    <w:rsid w:val="006E398D"/>
    <w:rsid w:val="006E3C28"/>
    <w:rsid w:val="006E46E0"/>
    <w:rsid w:val="006E4881"/>
    <w:rsid w:val="006E4BF8"/>
    <w:rsid w:val="006E5C3D"/>
    <w:rsid w:val="006E6AA4"/>
    <w:rsid w:val="006E6B8D"/>
    <w:rsid w:val="006E6BA1"/>
    <w:rsid w:val="006E6BB7"/>
    <w:rsid w:val="006E70CD"/>
    <w:rsid w:val="006E72BC"/>
    <w:rsid w:val="006E787D"/>
    <w:rsid w:val="006E78E7"/>
    <w:rsid w:val="006F0A4D"/>
    <w:rsid w:val="006F0C28"/>
    <w:rsid w:val="006F0D52"/>
    <w:rsid w:val="006F11DB"/>
    <w:rsid w:val="006F273E"/>
    <w:rsid w:val="006F33E5"/>
    <w:rsid w:val="006F39BF"/>
    <w:rsid w:val="006F3CB4"/>
    <w:rsid w:val="006F4774"/>
    <w:rsid w:val="006F4BCA"/>
    <w:rsid w:val="006F4BF0"/>
    <w:rsid w:val="006F5615"/>
    <w:rsid w:val="006F60B8"/>
    <w:rsid w:val="006F7CE5"/>
    <w:rsid w:val="00700829"/>
    <w:rsid w:val="00701ECC"/>
    <w:rsid w:val="007021B7"/>
    <w:rsid w:val="0070284D"/>
    <w:rsid w:val="00703535"/>
    <w:rsid w:val="00703AB3"/>
    <w:rsid w:val="00703C45"/>
    <w:rsid w:val="007055F6"/>
    <w:rsid w:val="007058EE"/>
    <w:rsid w:val="00705CAB"/>
    <w:rsid w:val="0070627F"/>
    <w:rsid w:val="00707017"/>
    <w:rsid w:val="007072C8"/>
    <w:rsid w:val="00707D6C"/>
    <w:rsid w:val="00711CA6"/>
    <w:rsid w:val="007124BA"/>
    <w:rsid w:val="00713DC6"/>
    <w:rsid w:val="00714BE4"/>
    <w:rsid w:val="00715571"/>
    <w:rsid w:val="00715AFF"/>
    <w:rsid w:val="00720C65"/>
    <w:rsid w:val="007211F7"/>
    <w:rsid w:val="007224D4"/>
    <w:rsid w:val="0072485D"/>
    <w:rsid w:val="00724F26"/>
    <w:rsid w:val="00725C99"/>
    <w:rsid w:val="00726F82"/>
    <w:rsid w:val="00726F9C"/>
    <w:rsid w:val="0072751B"/>
    <w:rsid w:val="0072780F"/>
    <w:rsid w:val="00727D3A"/>
    <w:rsid w:val="0073062C"/>
    <w:rsid w:val="00730CB6"/>
    <w:rsid w:val="00731E8E"/>
    <w:rsid w:val="007323B7"/>
    <w:rsid w:val="007324D5"/>
    <w:rsid w:val="0073284D"/>
    <w:rsid w:val="007341DA"/>
    <w:rsid w:val="0073505E"/>
    <w:rsid w:val="0073626D"/>
    <w:rsid w:val="00736384"/>
    <w:rsid w:val="00741270"/>
    <w:rsid w:val="00741717"/>
    <w:rsid w:val="007424BD"/>
    <w:rsid w:val="00742FBF"/>
    <w:rsid w:val="00743385"/>
    <w:rsid w:val="007438D6"/>
    <w:rsid w:val="00744188"/>
    <w:rsid w:val="0074458E"/>
    <w:rsid w:val="00744D22"/>
    <w:rsid w:val="00744DBD"/>
    <w:rsid w:val="007468CE"/>
    <w:rsid w:val="0074692B"/>
    <w:rsid w:val="0074750C"/>
    <w:rsid w:val="00747A2E"/>
    <w:rsid w:val="00747BFF"/>
    <w:rsid w:val="00747CE8"/>
    <w:rsid w:val="00747EBA"/>
    <w:rsid w:val="00750BC1"/>
    <w:rsid w:val="00750CB3"/>
    <w:rsid w:val="00751188"/>
    <w:rsid w:val="0075131A"/>
    <w:rsid w:val="00751432"/>
    <w:rsid w:val="007514CF"/>
    <w:rsid w:val="00751720"/>
    <w:rsid w:val="00751B98"/>
    <w:rsid w:val="0075336D"/>
    <w:rsid w:val="00754061"/>
    <w:rsid w:val="007544F7"/>
    <w:rsid w:val="00754803"/>
    <w:rsid w:val="007575C4"/>
    <w:rsid w:val="00761A6F"/>
    <w:rsid w:val="00761BCC"/>
    <w:rsid w:val="0076203C"/>
    <w:rsid w:val="00762266"/>
    <w:rsid w:val="007622A8"/>
    <w:rsid w:val="00762EA0"/>
    <w:rsid w:val="00763ABB"/>
    <w:rsid w:val="00763C00"/>
    <w:rsid w:val="0076484B"/>
    <w:rsid w:val="00764966"/>
    <w:rsid w:val="00764AC2"/>
    <w:rsid w:val="00764BB9"/>
    <w:rsid w:val="00765E6D"/>
    <w:rsid w:val="00766E1B"/>
    <w:rsid w:val="007670B7"/>
    <w:rsid w:val="0076781F"/>
    <w:rsid w:val="00767A24"/>
    <w:rsid w:val="00767A28"/>
    <w:rsid w:val="00767A34"/>
    <w:rsid w:val="00767CDD"/>
    <w:rsid w:val="00770182"/>
    <w:rsid w:val="0077041D"/>
    <w:rsid w:val="007717D7"/>
    <w:rsid w:val="00771F28"/>
    <w:rsid w:val="007725E9"/>
    <w:rsid w:val="00773750"/>
    <w:rsid w:val="007768D8"/>
    <w:rsid w:val="00776F38"/>
    <w:rsid w:val="007772BE"/>
    <w:rsid w:val="007772C8"/>
    <w:rsid w:val="007804A8"/>
    <w:rsid w:val="00781ECA"/>
    <w:rsid w:val="007824D0"/>
    <w:rsid w:val="007830BA"/>
    <w:rsid w:val="00783787"/>
    <w:rsid w:val="00784058"/>
    <w:rsid w:val="00784A5A"/>
    <w:rsid w:val="00784C4C"/>
    <w:rsid w:val="00784DE0"/>
    <w:rsid w:val="00786B52"/>
    <w:rsid w:val="007870BE"/>
    <w:rsid w:val="00790F68"/>
    <w:rsid w:val="00791B48"/>
    <w:rsid w:val="00791E9C"/>
    <w:rsid w:val="00792164"/>
    <w:rsid w:val="00792F66"/>
    <w:rsid w:val="00793B57"/>
    <w:rsid w:val="00793CBE"/>
    <w:rsid w:val="007946DB"/>
    <w:rsid w:val="00795DC1"/>
    <w:rsid w:val="00796AA4"/>
    <w:rsid w:val="00796F9C"/>
    <w:rsid w:val="00797D40"/>
    <w:rsid w:val="007A012D"/>
    <w:rsid w:val="007A0CAC"/>
    <w:rsid w:val="007A0E52"/>
    <w:rsid w:val="007A0F25"/>
    <w:rsid w:val="007A179D"/>
    <w:rsid w:val="007A1964"/>
    <w:rsid w:val="007A260F"/>
    <w:rsid w:val="007A2E23"/>
    <w:rsid w:val="007A3F30"/>
    <w:rsid w:val="007A402D"/>
    <w:rsid w:val="007A4566"/>
    <w:rsid w:val="007A4E66"/>
    <w:rsid w:val="007A522E"/>
    <w:rsid w:val="007A5780"/>
    <w:rsid w:val="007B01B8"/>
    <w:rsid w:val="007B0563"/>
    <w:rsid w:val="007B0826"/>
    <w:rsid w:val="007B1FC0"/>
    <w:rsid w:val="007B21F6"/>
    <w:rsid w:val="007B2431"/>
    <w:rsid w:val="007B4CDB"/>
    <w:rsid w:val="007B5813"/>
    <w:rsid w:val="007B5861"/>
    <w:rsid w:val="007B603C"/>
    <w:rsid w:val="007B7845"/>
    <w:rsid w:val="007B7B69"/>
    <w:rsid w:val="007C0018"/>
    <w:rsid w:val="007C1720"/>
    <w:rsid w:val="007C1937"/>
    <w:rsid w:val="007C1A22"/>
    <w:rsid w:val="007C238A"/>
    <w:rsid w:val="007C2583"/>
    <w:rsid w:val="007C2755"/>
    <w:rsid w:val="007C2B93"/>
    <w:rsid w:val="007C3239"/>
    <w:rsid w:val="007C3459"/>
    <w:rsid w:val="007C351A"/>
    <w:rsid w:val="007C4F02"/>
    <w:rsid w:val="007C524D"/>
    <w:rsid w:val="007C55EF"/>
    <w:rsid w:val="007C59BC"/>
    <w:rsid w:val="007C5F99"/>
    <w:rsid w:val="007C6072"/>
    <w:rsid w:val="007C610E"/>
    <w:rsid w:val="007D0269"/>
    <w:rsid w:val="007D1235"/>
    <w:rsid w:val="007D164F"/>
    <w:rsid w:val="007D27E2"/>
    <w:rsid w:val="007D29D2"/>
    <w:rsid w:val="007D3D18"/>
    <w:rsid w:val="007D3D5D"/>
    <w:rsid w:val="007D3DC0"/>
    <w:rsid w:val="007D4B04"/>
    <w:rsid w:val="007D5C19"/>
    <w:rsid w:val="007D660D"/>
    <w:rsid w:val="007D6DDF"/>
    <w:rsid w:val="007D70BF"/>
    <w:rsid w:val="007D736E"/>
    <w:rsid w:val="007E047A"/>
    <w:rsid w:val="007E0AE2"/>
    <w:rsid w:val="007E1265"/>
    <w:rsid w:val="007E25F8"/>
    <w:rsid w:val="007E29C4"/>
    <w:rsid w:val="007E2A39"/>
    <w:rsid w:val="007E2E1C"/>
    <w:rsid w:val="007E4831"/>
    <w:rsid w:val="007E4993"/>
    <w:rsid w:val="007E5E54"/>
    <w:rsid w:val="007E5F05"/>
    <w:rsid w:val="007E775A"/>
    <w:rsid w:val="007F02B0"/>
    <w:rsid w:val="007F3334"/>
    <w:rsid w:val="007F3462"/>
    <w:rsid w:val="007F3D01"/>
    <w:rsid w:val="007F56D1"/>
    <w:rsid w:val="007F60AE"/>
    <w:rsid w:val="007F735B"/>
    <w:rsid w:val="007F749B"/>
    <w:rsid w:val="007F754A"/>
    <w:rsid w:val="007F75D8"/>
    <w:rsid w:val="007F7DD6"/>
    <w:rsid w:val="008013FE"/>
    <w:rsid w:val="00801CCB"/>
    <w:rsid w:val="0080233B"/>
    <w:rsid w:val="00802CDB"/>
    <w:rsid w:val="008037DA"/>
    <w:rsid w:val="00803AB0"/>
    <w:rsid w:val="008051C1"/>
    <w:rsid w:val="0080528F"/>
    <w:rsid w:val="008058A5"/>
    <w:rsid w:val="00806732"/>
    <w:rsid w:val="0080726B"/>
    <w:rsid w:val="00807A16"/>
    <w:rsid w:val="008100A3"/>
    <w:rsid w:val="00810783"/>
    <w:rsid w:val="008109DF"/>
    <w:rsid w:val="008119B7"/>
    <w:rsid w:val="008131E7"/>
    <w:rsid w:val="00813B33"/>
    <w:rsid w:val="0081443D"/>
    <w:rsid w:val="008149A8"/>
    <w:rsid w:val="00814C51"/>
    <w:rsid w:val="00815776"/>
    <w:rsid w:val="008160B8"/>
    <w:rsid w:val="00816662"/>
    <w:rsid w:val="00816865"/>
    <w:rsid w:val="00816B2C"/>
    <w:rsid w:val="00817865"/>
    <w:rsid w:val="00817C47"/>
    <w:rsid w:val="00817C86"/>
    <w:rsid w:val="008200BE"/>
    <w:rsid w:val="00820E6D"/>
    <w:rsid w:val="00821DF8"/>
    <w:rsid w:val="008222D3"/>
    <w:rsid w:val="00822B4E"/>
    <w:rsid w:val="00823D6F"/>
    <w:rsid w:val="008248C6"/>
    <w:rsid w:val="00824BFE"/>
    <w:rsid w:val="00825532"/>
    <w:rsid w:val="008268AC"/>
    <w:rsid w:val="00826AD4"/>
    <w:rsid w:val="0082743C"/>
    <w:rsid w:val="008276D6"/>
    <w:rsid w:val="00830BAA"/>
    <w:rsid w:val="0083188E"/>
    <w:rsid w:val="008329EF"/>
    <w:rsid w:val="00833A37"/>
    <w:rsid w:val="00833E9C"/>
    <w:rsid w:val="008358D2"/>
    <w:rsid w:val="00835A48"/>
    <w:rsid w:val="00836250"/>
    <w:rsid w:val="008368AA"/>
    <w:rsid w:val="00836A68"/>
    <w:rsid w:val="00836D74"/>
    <w:rsid w:val="00836F11"/>
    <w:rsid w:val="008370D6"/>
    <w:rsid w:val="008371BE"/>
    <w:rsid w:val="00837D7A"/>
    <w:rsid w:val="00840B7E"/>
    <w:rsid w:val="008414E1"/>
    <w:rsid w:val="008424D8"/>
    <w:rsid w:val="00842952"/>
    <w:rsid w:val="00843CCB"/>
    <w:rsid w:val="00844118"/>
    <w:rsid w:val="00844554"/>
    <w:rsid w:val="00846423"/>
    <w:rsid w:val="00847BDF"/>
    <w:rsid w:val="00850406"/>
    <w:rsid w:val="00850AA7"/>
    <w:rsid w:val="00850DF7"/>
    <w:rsid w:val="00852414"/>
    <w:rsid w:val="00852EDC"/>
    <w:rsid w:val="00853FCE"/>
    <w:rsid w:val="008549B6"/>
    <w:rsid w:val="008553F0"/>
    <w:rsid w:val="00855BFA"/>
    <w:rsid w:val="0085651A"/>
    <w:rsid w:val="00856CB5"/>
    <w:rsid w:val="00857073"/>
    <w:rsid w:val="00860836"/>
    <w:rsid w:val="0086134F"/>
    <w:rsid w:val="00861818"/>
    <w:rsid w:val="00861C2D"/>
    <w:rsid w:val="00861C68"/>
    <w:rsid w:val="008621CF"/>
    <w:rsid w:val="00862AD7"/>
    <w:rsid w:val="0086310E"/>
    <w:rsid w:val="00864179"/>
    <w:rsid w:val="00864828"/>
    <w:rsid w:val="0086516D"/>
    <w:rsid w:val="00865353"/>
    <w:rsid w:val="0086639F"/>
    <w:rsid w:val="00867EA1"/>
    <w:rsid w:val="008701E0"/>
    <w:rsid w:val="0087070B"/>
    <w:rsid w:val="00871C26"/>
    <w:rsid w:val="00872156"/>
    <w:rsid w:val="0087239C"/>
    <w:rsid w:val="0087275B"/>
    <w:rsid w:val="00872D41"/>
    <w:rsid w:val="00873105"/>
    <w:rsid w:val="00874763"/>
    <w:rsid w:val="008749DF"/>
    <w:rsid w:val="00874EB6"/>
    <w:rsid w:val="00875123"/>
    <w:rsid w:val="008758CD"/>
    <w:rsid w:val="00875902"/>
    <w:rsid w:val="00875FA2"/>
    <w:rsid w:val="00876838"/>
    <w:rsid w:val="00876944"/>
    <w:rsid w:val="00877190"/>
    <w:rsid w:val="008773ED"/>
    <w:rsid w:val="00880AF6"/>
    <w:rsid w:val="00881ADD"/>
    <w:rsid w:val="00881CB3"/>
    <w:rsid w:val="0088216B"/>
    <w:rsid w:val="00882D51"/>
    <w:rsid w:val="00882DB8"/>
    <w:rsid w:val="00883DD8"/>
    <w:rsid w:val="00884946"/>
    <w:rsid w:val="00884A48"/>
    <w:rsid w:val="00885BDE"/>
    <w:rsid w:val="00887C2F"/>
    <w:rsid w:val="008900A2"/>
    <w:rsid w:val="008906D1"/>
    <w:rsid w:val="00890801"/>
    <w:rsid w:val="008918FF"/>
    <w:rsid w:val="0089250A"/>
    <w:rsid w:val="00892B57"/>
    <w:rsid w:val="0089453B"/>
    <w:rsid w:val="00894F7F"/>
    <w:rsid w:val="008963CD"/>
    <w:rsid w:val="00897DA4"/>
    <w:rsid w:val="008A0BF3"/>
    <w:rsid w:val="008A1281"/>
    <w:rsid w:val="008A1721"/>
    <w:rsid w:val="008A272E"/>
    <w:rsid w:val="008A2B7A"/>
    <w:rsid w:val="008A3828"/>
    <w:rsid w:val="008A426C"/>
    <w:rsid w:val="008A5953"/>
    <w:rsid w:val="008A7027"/>
    <w:rsid w:val="008A7245"/>
    <w:rsid w:val="008B0BA7"/>
    <w:rsid w:val="008B0E3A"/>
    <w:rsid w:val="008B206A"/>
    <w:rsid w:val="008B230C"/>
    <w:rsid w:val="008B282C"/>
    <w:rsid w:val="008B3987"/>
    <w:rsid w:val="008B41EB"/>
    <w:rsid w:val="008B4CF5"/>
    <w:rsid w:val="008B59E8"/>
    <w:rsid w:val="008B5AF2"/>
    <w:rsid w:val="008B6056"/>
    <w:rsid w:val="008B60B3"/>
    <w:rsid w:val="008B748A"/>
    <w:rsid w:val="008B75E8"/>
    <w:rsid w:val="008B7DD7"/>
    <w:rsid w:val="008B7FCF"/>
    <w:rsid w:val="008C0138"/>
    <w:rsid w:val="008C02B4"/>
    <w:rsid w:val="008C049A"/>
    <w:rsid w:val="008C075C"/>
    <w:rsid w:val="008C0ADC"/>
    <w:rsid w:val="008C0C66"/>
    <w:rsid w:val="008C1E23"/>
    <w:rsid w:val="008C1F92"/>
    <w:rsid w:val="008C24DF"/>
    <w:rsid w:val="008C2602"/>
    <w:rsid w:val="008C30A5"/>
    <w:rsid w:val="008C315B"/>
    <w:rsid w:val="008C3B70"/>
    <w:rsid w:val="008C4065"/>
    <w:rsid w:val="008C486B"/>
    <w:rsid w:val="008C4AB3"/>
    <w:rsid w:val="008C4B26"/>
    <w:rsid w:val="008C501B"/>
    <w:rsid w:val="008C5307"/>
    <w:rsid w:val="008C5B9C"/>
    <w:rsid w:val="008C5E38"/>
    <w:rsid w:val="008C6633"/>
    <w:rsid w:val="008C71C6"/>
    <w:rsid w:val="008C77B9"/>
    <w:rsid w:val="008D1662"/>
    <w:rsid w:val="008D1754"/>
    <w:rsid w:val="008D1A31"/>
    <w:rsid w:val="008D27B2"/>
    <w:rsid w:val="008D36A9"/>
    <w:rsid w:val="008D43D3"/>
    <w:rsid w:val="008D47A7"/>
    <w:rsid w:val="008D4B4B"/>
    <w:rsid w:val="008D64C6"/>
    <w:rsid w:val="008D699F"/>
    <w:rsid w:val="008D77FF"/>
    <w:rsid w:val="008D7E37"/>
    <w:rsid w:val="008D7F31"/>
    <w:rsid w:val="008E0371"/>
    <w:rsid w:val="008E15CA"/>
    <w:rsid w:val="008E1F59"/>
    <w:rsid w:val="008E2B14"/>
    <w:rsid w:val="008E4DC7"/>
    <w:rsid w:val="008E4DD8"/>
    <w:rsid w:val="008E7E79"/>
    <w:rsid w:val="008E7FEA"/>
    <w:rsid w:val="008F1435"/>
    <w:rsid w:val="008F2032"/>
    <w:rsid w:val="008F219B"/>
    <w:rsid w:val="008F2296"/>
    <w:rsid w:val="008F3841"/>
    <w:rsid w:val="008F467C"/>
    <w:rsid w:val="008F563F"/>
    <w:rsid w:val="008F61A5"/>
    <w:rsid w:val="008F6B16"/>
    <w:rsid w:val="008F6C21"/>
    <w:rsid w:val="008F6D05"/>
    <w:rsid w:val="008F6D93"/>
    <w:rsid w:val="008F7368"/>
    <w:rsid w:val="008F788E"/>
    <w:rsid w:val="008F7FD9"/>
    <w:rsid w:val="00900A38"/>
    <w:rsid w:val="009015CD"/>
    <w:rsid w:val="009022AF"/>
    <w:rsid w:val="00902670"/>
    <w:rsid w:val="00903CCC"/>
    <w:rsid w:val="0090404C"/>
    <w:rsid w:val="00904AC9"/>
    <w:rsid w:val="00904CFA"/>
    <w:rsid w:val="0090533E"/>
    <w:rsid w:val="00905AD2"/>
    <w:rsid w:val="009061A1"/>
    <w:rsid w:val="009063A6"/>
    <w:rsid w:val="0090651E"/>
    <w:rsid w:val="0090652E"/>
    <w:rsid w:val="00906617"/>
    <w:rsid w:val="00906CE1"/>
    <w:rsid w:val="0090711E"/>
    <w:rsid w:val="0090774B"/>
    <w:rsid w:val="0091058D"/>
    <w:rsid w:val="009107CC"/>
    <w:rsid w:val="00910B81"/>
    <w:rsid w:val="00913014"/>
    <w:rsid w:val="009138B4"/>
    <w:rsid w:val="00913E5E"/>
    <w:rsid w:val="00914117"/>
    <w:rsid w:val="009145ED"/>
    <w:rsid w:val="0091575D"/>
    <w:rsid w:val="00915A1E"/>
    <w:rsid w:val="00916372"/>
    <w:rsid w:val="00917479"/>
    <w:rsid w:val="0091787C"/>
    <w:rsid w:val="00920840"/>
    <w:rsid w:val="00921092"/>
    <w:rsid w:val="009213CF"/>
    <w:rsid w:val="00921A9A"/>
    <w:rsid w:val="00921B8A"/>
    <w:rsid w:val="00921BC8"/>
    <w:rsid w:val="00921D5C"/>
    <w:rsid w:val="009225DB"/>
    <w:rsid w:val="00922C6C"/>
    <w:rsid w:val="00924595"/>
    <w:rsid w:val="009246EE"/>
    <w:rsid w:val="00926A07"/>
    <w:rsid w:val="00926F7B"/>
    <w:rsid w:val="009302E2"/>
    <w:rsid w:val="00931992"/>
    <w:rsid w:val="00932B54"/>
    <w:rsid w:val="00932C18"/>
    <w:rsid w:val="00932D8E"/>
    <w:rsid w:val="0093469B"/>
    <w:rsid w:val="00934E78"/>
    <w:rsid w:val="00935713"/>
    <w:rsid w:val="00937F8E"/>
    <w:rsid w:val="009401BF"/>
    <w:rsid w:val="009406D2"/>
    <w:rsid w:val="00942470"/>
    <w:rsid w:val="00942841"/>
    <w:rsid w:val="00943278"/>
    <w:rsid w:val="00943A5B"/>
    <w:rsid w:val="00943A90"/>
    <w:rsid w:val="00943BFA"/>
    <w:rsid w:val="0094530F"/>
    <w:rsid w:val="00945821"/>
    <w:rsid w:val="00945848"/>
    <w:rsid w:val="009458CA"/>
    <w:rsid w:val="00945F92"/>
    <w:rsid w:val="00946397"/>
    <w:rsid w:val="009466CD"/>
    <w:rsid w:val="00946EBB"/>
    <w:rsid w:val="0094768D"/>
    <w:rsid w:val="009508F3"/>
    <w:rsid w:val="00950916"/>
    <w:rsid w:val="00950D5C"/>
    <w:rsid w:val="009526F5"/>
    <w:rsid w:val="009539C6"/>
    <w:rsid w:val="00953BC9"/>
    <w:rsid w:val="00953DC5"/>
    <w:rsid w:val="00953E06"/>
    <w:rsid w:val="00954E5F"/>
    <w:rsid w:val="00954F7D"/>
    <w:rsid w:val="0095537F"/>
    <w:rsid w:val="0095553C"/>
    <w:rsid w:val="00960223"/>
    <w:rsid w:val="0096022E"/>
    <w:rsid w:val="00960412"/>
    <w:rsid w:val="0096043C"/>
    <w:rsid w:val="00963F9F"/>
    <w:rsid w:val="0096413C"/>
    <w:rsid w:val="00965600"/>
    <w:rsid w:val="009662CB"/>
    <w:rsid w:val="00966341"/>
    <w:rsid w:val="00966439"/>
    <w:rsid w:val="009665E2"/>
    <w:rsid w:val="0096665A"/>
    <w:rsid w:val="00966855"/>
    <w:rsid w:val="009673FC"/>
    <w:rsid w:val="00967530"/>
    <w:rsid w:val="009679A8"/>
    <w:rsid w:val="00967CFD"/>
    <w:rsid w:val="009707E6"/>
    <w:rsid w:val="0097088A"/>
    <w:rsid w:val="00970CD5"/>
    <w:rsid w:val="009721D6"/>
    <w:rsid w:val="00972768"/>
    <w:rsid w:val="009730D1"/>
    <w:rsid w:val="00973468"/>
    <w:rsid w:val="00973BAF"/>
    <w:rsid w:val="00974325"/>
    <w:rsid w:val="009754AF"/>
    <w:rsid w:val="009757DB"/>
    <w:rsid w:val="00975C7B"/>
    <w:rsid w:val="00980135"/>
    <w:rsid w:val="00980AA7"/>
    <w:rsid w:val="00981563"/>
    <w:rsid w:val="00983C16"/>
    <w:rsid w:val="00984AD7"/>
    <w:rsid w:val="009853DD"/>
    <w:rsid w:val="00985745"/>
    <w:rsid w:val="00985EB6"/>
    <w:rsid w:val="00986150"/>
    <w:rsid w:val="00986ED4"/>
    <w:rsid w:val="00987AA5"/>
    <w:rsid w:val="009914FE"/>
    <w:rsid w:val="009915AC"/>
    <w:rsid w:val="00991627"/>
    <w:rsid w:val="0099385F"/>
    <w:rsid w:val="0099495F"/>
    <w:rsid w:val="00994AC2"/>
    <w:rsid w:val="00994D59"/>
    <w:rsid w:val="0099513E"/>
    <w:rsid w:val="009A0F80"/>
    <w:rsid w:val="009A1004"/>
    <w:rsid w:val="009A22CC"/>
    <w:rsid w:val="009A266B"/>
    <w:rsid w:val="009A2A71"/>
    <w:rsid w:val="009A2F4D"/>
    <w:rsid w:val="009A30F5"/>
    <w:rsid w:val="009A3AD4"/>
    <w:rsid w:val="009A4E5F"/>
    <w:rsid w:val="009A551C"/>
    <w:rsid w:val="009A5A3C"/>
    <w:rsid w:val="009A74F1"/>
    <w:rsid w:val="009B0436"/>
    <w:rsid w:val="009B1331"/>
    <w:rsid w:val="009B59EC"/>
    <w:rsid w:val="009B5ED6"/>
    <w:rsid w:val="009B6642"/>
    <w:rsid w:val="009B76CF"/>
    <w:rsid w:val="009B7923"/>
    <w:rsid w:val="009B7E4D"/>
    <w:rsid w:val="009C1BCC"/>
    <w:rsid w:val="009C1F35"/>
    <w:rsid w:val="009C2E9F"/>
    <w:rsid w:val="009C316F"/>
    <w:rsid w:val="009C3AC6"/>
    <w:rsid w:val="009C4E91"/>
    <w:rsid w:val="009C5792"/>
    <w:rsid w:val="009C6446"/>
    <w:rsid w:val="009C68EB"/>
    <w:rsid w:val="009C6930"/>
    <w:rsid w:val="009C77F8"/>
    <w:rsid w:val="009C7948"/>
    <w:rsid w:val="009D0A52"/>
    <w:rsid w:val="009D0E51"/>
    <w:rsid w:val="009D0F7D"/>
    <w:rsid w:val="009D0FD5"/>
    <w:rsid w:val="009D2313"/>
    <w:rsid w:val="009D2938"/>
    <w:rsid w:val="009D3C75"/>
    <w:rsid w:val="009D4549"/>
    <w:rsid w:val="009D4E0F"/>
    <w:rsid w:val="009D5160"/>
    <w:rsid w:val="009D5190"/>
    <w:rsid w:val="009D51FE"/>
    <w:rsid w:val="009D697E"/>
    <w:rsid w:val="009D7480"/>
    <w:rsid w:val="009E2BD3"/>
    <w:rsid w:val="009E3D07"/>
    <w:rsid w:val="009E522C"/>
    <w:rsid w:val="009F0186"/>
    <w:rsid w:val="009F11E1"/>
    <w:rsid w:val="009F2561"/>
    <w:rsid w:val="009F3A19"/>
    <w:rsid w:val="009F450D"/>
    <w:rsid w:val="009F54CC"/>
    <w:rsid w:val="009F5CB2"/>
    <w:rsid w:val="009F7273"/>
    <w:rsid w:val="00A0027B"/>
    <w:rsid w:val="00A00CDB"/>
    <w:rsid w:val="00A010C1"/>
    <w:rsid w:val="00A01752"/>
    <w:rsid w:val="00A02DEC"/>
    <w:rsid w:val="00A04E70"/>
    <w:rsid w:val="00A05FEA"/>
    <w:rsid w:val="00A06B19"/>
    <w:rsid w:val="00A07099"/>
    <w:rsid w:val="00A12074"/>
    <w:rsid w:val="00A14680"/>
    <w:rsid w:val="00A16556"/>
    <w:rsid w:val="00A165B6"/>
    <w:rsid w:val="00A16AFB"/>
    <w:rsid w:val="00A178FF"/>
    <w:rsid w:val="00A213A5"/>
    <w:rsid w:val="00A218A6"/>
    <w:rsid w:val="00A21D89"/>
    <w:rsid w:val="00A2218F"/>
    <w:rsid w:val="00A22898"/>
    <w:rsid w:val="00A23A4A"/>
    <w:rsid w:val="00A23FE6"/>
    <w:rsid w:val="00A246DE"/>
    <w:rsid w:val="00A25258"/>
    <w:rsid w:val="00A25B25"/>
    <w:rsid w:val="00A27EED"/>
    <w:rsid w:val="00A30B7C"/>
    <w:rsid w:val="00A31B39"/>
    <w:rsid w:val="00A3210F"/>
    <w:rsid w:val="00A34418"/>
    <w:rsid w:val="00A3482E"/>
    <w:rsid w:val="00A35E0B"/>
    <w:rsid w:val="00A36506"/>
    <w:rsid w:val="00A40255"/>
    <w:rsid w:val="00A402A3"/>
    <w:rsid w:val="00A41153"/>
    <w:rsid w:val="00A417E9"/>
    <w:rsid w:val="00A41A2B"/>
    <w:rsid w:val="00A4209F"/>
    <w:rsid w:val="00A42418"/>
    <w:rsid w:val="00A4282F"/>
    <w:rsid w:val="00A437B0"/>
    <w:rsid w:val="00A442A9"/>
    <w:rsid w:val="00A4468F"/>
    <w:rsid w:val="00A452DE"/>
    <w:rsid w:val="00A46AD1"/>
    <w:rsid w:val="00A479BA"/>
    <w:rsid w:val="00A50160"/>
    <w:rsid w:val="00A50D08"/>
    <w:rsid w:val="00A53564"/>
    <w:rsid w:val="00A54C5B"/>
    <w:rsid w:val="00A54FCC"/>
    <w:rsid w:val="00A568AA"/>
    <w:rsid w:val="00A56CFE"/>
    <w:rsid w:val="00A57CAE"/>
    <w:rsid w:val="00A62FC4"/>
    <w:rsid w:val="00A63024"/>
    <w:rsid w:val="00A63430"/>
    <w:rsid w:val="00A63932"/>
    <w:rsid w:val="00A6593B"/>
    <w:rsid w:val="00A65A90"/>
    <w:rsid w:val="00A671CF"/>
    <w:rsid w:val="00A672D7"/>
    <w:rsid w:val="00A67BDF"/>
    <w:rsid w:val="00A67C2E"/>
    <w:rsid w:val="00A67EE9"/>
    <w:rsid w:val="00A714B6"/>
    <w:rsid w:val="00A71941"/>
    <w:rsid w:val="00A71FF5"/>
    <w:rsid w:val="00A7240D"/>
    <w:rsid w:val="00A727C3"/>
    <w:rsid w:val="00A72A3D"/>
    <w:rsid w:val="00A72E2E"/>
    <w:rsid w:val="00A76C74"/>
    <w:rsid w:val="00A801AB"/>
    <w:rsid w:val="00A8065F"/>
    <w:rsid w:val="00A80A13"/>
    <w:rsid w:val="00A811AE"/>
    <w:rsid w:val="00A81B5F"/>
    <w:rsid w:val="00A83E13"/>
    <w:rsid w:val="00A84954"/>
    <w:rsid w:val="00A84BDC"/>
    <w:rsid w:val="00A84D87"/>
    <w:rsid w:val="00A84F02"/>
    <w:rsid w:val="00A8737A"/>
    <w:rsid w:val="00A91DAB"/>
    <w:rsid w:val="00A91F2E"/>
    <w:rsid w:val="00A921E3"/>
    <w:rsid w:val="00A92462"/>
    <w:rsid w:val="00A937D4"/>
    <w:rsid w:val="00A93D6A"/>
    <w:rsid w:val="00A94093"/>
    <w:rsid w:val="00A94BC4"/>
    <w:rsid w:val="00A95469"/>
    <w:rsid w:val="00A95713"/>
    <w:rsid w:val="00A95E19"/>
    <w:rsid w:val="00A95F7B"/>
    <w:rsid w:val="00A97243"/>
    <w:rsid w:val="00AA147D"/>
    <w:rsid w:val="00AA18AD"/>
    <w:rsid w:val="00AA18E5"/>
    <w:rsid w:val="00AA1C96"/>
    <w:rsid w:val="00AA3614"/>
    <w:rsid w:val="00AA4083"/>
    <w:rsid w:val="00AA47C3"/>
    <w:rsid w:val="00AA54A5"/>
    <w:rsid w:val="00AA6859"/>
    <w:rsid w:val="00AA6CFB"/>
    <w:rsid w:val="00AA6E7A"/>
    <w:rsid w:val="00AA712B"/>
    <w:rsid w:val="00AA77B8"/>
    <w:rsid w:val="00AA7989"/>
    <w:rsid w:val="00AB025C"/>
    <w:rsid w:val="00AB0540"/>
    <w:rsid w:val="00AB06EB"/>
    <w:rsid w:val="00AB0E0C"/>
    <w:rsid w:val="00AB1608"/>
    <w:rsid w:val="00AB33D8"/>
    <w:rsid w:val="00AB3506"/>
    <w:rsid w:val="00AB49DB"/>
    <w:rsid w:val="00AB4AB5"/>
    <w:rsid w:val="00AB5702"/>
    <w:rsid w:val="00AB69FD"/>
    <w:rsid w:val="00AB799A"/>
    <w:rsid w:val="00AC0400"/>
    <w:rsid w:val="00AC199A"/>
    <w:rsid w:val="00AC3BC0"/>
    <w:rsid w:val="00AC4EF5"/>
    <w:rsid w:val="00AC6D59"/>
    <w:rsid w:val="00AC7430"/>
    <w:rsid w:val="00AC7723"/>
    <w:rsid w:val="00AC7D7B"/>
    <w:rsid w:val="00AD0E4B"/>
    <w:rsid w:val="00AD1297"/>
    <w:rsid w:val="00AD157B"/>
    <w:rsid w:val="00AD2124"/>
    <w:rsid w:val="00AD2937"/>
    <w:rsid w:val="00AD3BCB"/>
    <w:rsid w:val="00AD4490"/>
    <w:rsid w:val="00AD4D7E"/>
    <w:rsid w:val="00AD514A"/>
    <w:rsid w:val="00AD5FF4"/>
    <w:rsid w:val="00AD6C35"/>
    <w:rsid w:val="00AE032F"/>
    <w:rsid w:val="00AE05E1"/>
    <w:rsid w:val="00AE0CEA"/>
    <w:rsid w:val="00AE1548"/>
    <w:rsid w:val="00AE170A"/>
    <w:rsid w:val="00AE1A4B"/>
    <w:rsid w:val="00AE2DE0"/>
    <w:rsid w:val="00AE3DC1"/>
    <w:rsid w:val="00AE472A"/>
    <w:rsid w:val="00AE4B3E"/>
    <w:rsid w:val="00AE50B3"/>
    <w:rsid w:val="00AE5A6B"/>
    <w:rsid w:val="00AE630B"/>
    <w:rsid w:val="00AE6DE9"/>
    <w:rsid w:val="00AE763F"/>
    <w:rsid w:val="00AF0D34"/>
    <w:rsid w:val="00AF1515"/>
    <w:rsid w:val="00AF2997"/>
    <w:rsid w:val="00AF5B98"/>
    <w:rsid w:val="00AF7150"/>
    <w:rsid w:val="00AF71DC"/>
    <w:rsid w:val="00B0004C"/>
    <w:rsid w:val="00B014D4"/>
    <w:rsid w:val="00B039FB"/>
    <w:rsid w:val="00B03DE6"/>
    <w:rsid w:val="00B04443"/>
    <w:rsid w:val="00B04A98"/>
    <w:rsid w:val="00B04D0C"/>
    <w:rsid w:val="00B0657D"/>
    <w:rsid w:val="00B10993"/>
    <w:rsid w:val="00B10B7C"/>
    <w:rsid w:val="00B10C5D"/>
    <w:rsid w:val="00B123BA"/>
    <w:rsid w:val="00B13893"/>
    <w:rsid w:val="00B13AC4"/>
    <w:rsid w:val="00B13F96"/>
    <w:rsid w:val="00B15390"/>
    <w:rsid w:val="00B1604D"/>
    <w:rsid w:val="00B16644"/>
    <w:rsid w:val="00B172BC"/>
    <w:rsid w:val="00B177F8"/>
    <w:rsid w:val="00B17F4E"/>
    <w:rsid w:val="00B2003D"/>
    <w:rsid w:val="00B2059F"/>
    <w:rsid w:val="00B208DC"/>
    <w:rsid w:val="00B20F9D"/>
    <w:rsid w:val="00B214F2"/>
    <w:rsid w:val="00B21F86"/>
    <w:rsid w:val="00B22AF1"/>
    <w:rsid w:val="00B234F3"/>
    <w:rsid w:val="00B24DF4"/>
    <w:rsid w:val="00B26212"/>
    <w:rsid w:val="00B26598"/>
    <w:rsid w:val="00B267A4"/>
    <w:rsid w:val="00B26CA5"/>
    <w:rsid w:val="00B27131"/>
    <w:rsid w:val="00B2777D"/>
    <w:rsid w:val="00B27F2E"/>
    <w:rsid w:val="00B30036"/>
    <w:rsid w:val="00B3240E"/>
    <w:rsid w:val="00B326B6"/>
    <w:rsid w:val="00B33AAC"/>
    <w:rsid w:val="00B3467E"/>
    <w:rsid w:val="00B34E2E"/>
    <w:rsid w:val="00B3526E"/>
    <w:rsid w:val="00B361B5"/>
    <w:rsid w:val="00B365C6"/>
    <w:rsid w:val="00B36F41"/>
    <w:rsid w:val="00B36F46"/>
    <w:rsid w:val="00B37C42"/>
    <w:rsid w:val="00B40201"/>
    <w:rsid w:val="00B414A5"/>
    <w:rsid w:val="00B41A6A"/>
    <w:rsid w:val="00B42063"/>
    <w:rsid w:val="00B42B72"/>
    <w:rsid w:val="00B42FCE"/>
    <w:rsid w:val="00B4356A"/>
    <w:rsid w:val="00B44D0F"/>
    <w:rsid w:val="00B451C8"/>
    <w:rsid w:val="00B45498"/>
    <w:rsid w:val="00B4672F"/>
    <w:rsid w:val="00B4681E"/>
    <w:rsid w:val="00B46F6B"/>
    <w:rsid w:val="00B4789A"/>
    <w:rsid w:val="00B479C2"/>
    <w:rsid w:val="00B514A2"/>
    <w:rsid w:val="00B51691"/>
    <w:rsid w:val="00B52782"/>
    <w:rsid w:val="00B52813"/>
    <w:rsid w:val="00B52F81"/>
    <w:rsid w:val="00B54124"/>
    <w:rsid w:val="00B54A7F"/>
    <w:rsid w:val="00B54F8D"/>
    <w:rsid w:val="00B55532"/>
    <w:rsid w:val="00B57346"/>
    <w:rsid w:val="00B573AB"/>
    <w:rsid w:val="00B578AD"/>
    <w:rsid w:val="00B57ECF"/>
    <w:rsid w:val="00B60815"/>
    <w:rsid w:val="00B615A4"/>
    <w:rsid w:val="00B62D0E"/>
    <w:rsid w:val="00B63557"/>
    <w:rsid w:val="00B63EBE"/>
    <w:rsid w:val="00B64576"/>
    <w:rsid w:val="00B658AE"/>
    <w:rsid w:val="00B65E47"/>
    <w:rsid w:val="00B66711"/>
    <w:rsid w:val="00B66DAB"/>
    <w:rsid w:val="00B67ECE"/>
    <w:rsid w:val="00B7023A"/>
    <w:rsid w:val="00B708D1"/>
    <w:rsid w:val="00B70A18"/>
    <w:rsid w:val="00B71CAF"/>
    <w:rsid w:val="00B71DCB"/>
    <w:rsid w:val="00B7248D"/>
    <w:rsid w:val="00B72840"/>
    <w:rsid w:val="00B728CC"/>
    <w:rsid w:val="00B7317E"/>
    <w:rsid w:val="00B733D1"/>
    <w:rsid w:val="00B7370B"/>
    <w:rsid w:val="00B7410D"/>
    <w:rsid w:val="00B746B6"/>
    <w:rsid w:val="00B746E6"/>
    <w:rsid w:val="00B74A23"/>
    <w:rsid w:val="00B74F75"/>
    <w:rsid w:val="00B756B1"/>
    <w:rsid w:val="00B75B57"/>
    <w:rsid w:val="00B75FBE"/>
    <w:rsid w:val="00B76085"/>
    <w:rsid w:val="00B76AAA"/>
    <w:rsid w:val="00B77E9D"/>
    <w:rsid w:val="00B804B5"/>
    <w:rsid w:val="00B8128D"/>
    <w:rsid w:val="00B82677"/>
    <w:rsid w:val="00B857CB"/>
    <w:rsid w:val="00B85F1D"/>
    <w:rsid w:val="00B85F3E"/>
    <w:rsid w:val="00B86317"/>
    <w:rsid w:val="00B87C6D"/>
    <w:rsid w:val="00B87F0C"/>
    <w:rsid w:val="00B9019B"/>
    <w:rsid w:val="00B92481"/>
    <w:rsid w:val="00B927CC"/>
    <w:rsid w:val="00B92C94"/>
    <w:rsid w:val="00B92D86"/>
    <w:rsid w:val="00B9314E"/>
    <w:rsid w:val="00B9376F"/>
    <w:rsid w:val="00B93BF9"/>
    <w:rsid w:val="00B94049"/>
    <w:rsid w:val="00B94258"/>
    <w:rsid w:val="00B94CD8"/>
    <w:rsid w:val="00B95284"/>
    <w:rsid w:val="00B95BE8"/>
    <w:rsid w:val="00B96118"/>
    <w:rsid w:val="00B96E02"/>
    <w:rsid w:val="00B97B4E"/>
    <w:rsid w:val="00BA008D"/>
    <w:rsid w:val="00BA00B7"/>
    <w:rsid w:val="00BA0479"/>
    <w:rsid w:val="00BA06E4"/>
    <w:rsid w:val="00BA077A"/>
    <w:rsid w:val="00BA2842"/>
    <w:rsid w:val="00BA2BCC"/>
    <w:rsid w:val="00BA31F4"/>
    <w:rsid w:val="00BA3859"/>
    <w:rsid w:val="00BA4DFF"/>
    <w:rsid w:val="00BA5123"/>
    <w:rsid w:val="00BA5476"/>
    <w:rsid w:val="00BA553F"/>
    <w:rsid w:val="00BA5610"/>
    <w:rsid w:val="00BA564E"/>
    <w:rsid w:val="00BA70CA"/>
    <w:rsid w:val="00BA7819"/>
    <w:rsid w:val="00BA7890"/>
    <w:rsid w:val="00BA78D6"/>
    <w:rsid w:val="00BA7CEE"/>
    <w:rsid w:val="00BA7E84"/>
    <w:rsid w:val="00BA7FD4"/>
    <w:rsid w:val="00BB0ABB"/>
    <w:rsid w:val="00BB17A2"/>
    <w:rsid w:val="00BB1F4F"/>
    <w:rsid w:val="00BB2D49"/>
    <w:rsid w:val="00BB2DE2"/>
    <w:rsid w:val="00BB340C"/>
    <w:rsid w:val="00BB37CF"/>
    <w:rsid w:val="00BB426F"/>
    <w:rsid w:val="00BB6295"/>
    <w:rsid w:val="00BB6F63"/>
    <w:rsid w:val="00BB79A5"/>
    <w:rsid w:val="00BC0523"/>
    <w:rsid w:val="00BC09D8"/>
    <w:rsid w:val="00BC0A5F"/>
    <w:rsid w:val="00BC13D4"/>
    <w:rsid w:val="00BC1847"/>
    <w:rsid w:val="00BC273F"/>
    <w:rsid w:val="00BC2E20"/>
    <w:rsid w:val="00BC2E33"/>
    <w:rsid w:val="00BC31D7"/>
    <w:rsid w:val="00BC3406"/>
    <w:rsid w:val="00BC41F5"/>
    <w:rsid w:val="00BC421D"/>
    <w:rsid w:val="00BC4238"/>
    <w:rsid w:val="00BC42B9"/>
    <w:rsid w:val="00BC454F"/>
    <w:rsid w:val="00BC4B34"/>
    <w:rsid w:val="00BC4F3F"/>
    <w:rsid w:val="00BC6316"/>
    <w:rsid w:val="00BC6853"/>
    <w:rsid w:val="00BC6BFA"/>
    <w:rsid w:val="00BC7526"/>
    <w:rsid w:val="00BD0BB8"/>
    <w:rsid w:val="00BD0C6E"/>
    <w:rsid w:val="00BD0E6B"/>
    <w:rsid w:val="00BD275E"/>
    <w:rsid w:val="00BD36D4"/>
    <w:rsid w:val="00BD397E"/>
    <w:rsid w:val="00BD3B50"/>
    <w:rsid w:val="00BD502A"/>
    <w:rsid w:val="00BD5104"/>
    <w:rsid w:val="00BD69ED"/>
    <w:rsid w:val="00BD71C6"/>
    <w:rsid w:val="00BD7406"/>
    <w:rsid w:val="00BD74A2"/>
    <w:rsid w:val="00BD74F6"/>
    <w:rsid w:val="00BD7D1D"/>
    <w:rsid w:val="00BE0058"/>
    <w:rsid w:val="00BE087C"/>
    <w:rsid w:val="00BE1587"/>
    <w:rsid w:val="00BE2146"/>
    <w:rsid w:val="00BE23C9"/>
    <w:rsid w:val="00BE34C8"/>
    <w:rsid w:val="00BE4282"/>
    <w:rsid w:val="00BE4369"/>
    <w:rsid w:val="00BE4516"/>
    <w:rsid w:val="00BE47DD"/>
    <w:rsid w:val="00BE56F7"/>
    <w:rsid w:val="00BE5D5F"/>
    <w:rsid w:val="00BE6D65"/>
    <w:rsid w:val="00BE74DD"/>
    <w:rsid w:val="00BF0577"/>
    <w:rsid w:val="00BF0EC1"/>
    <w:rsid w:val="00BF1DE8"/>
    <w:rsid w:val="00BF37B4"/>
    <w:rsid w:val="00BF3BB1"/>
    <w:rsid w:val="00BF3CE3"/>
    <w:rsid w:val="00BF43AA"/>
    <w:rsid w:val="00BF5868"/>
    <w:rsid w:val="00BF5CB3"/>
    <w:rsid w:val="00BF63FA"/>
    <w:rsid w:val="00BF7510"/>
    <w:rsid w:val="00BF7A86"/>
    <w:rsid w:val="00C001B9"/>
    <w:rsid w:val="00C00419"/>
    <w:rsid w:val="00C0141F"/>
    <w:rsid w:val="00C028E9"/>
    <w:rsid w:val="00C02B65"/>
    <w:rsid w:val="00C03077"/>
    <w:rsid w:val="00C04D93"/>
    <w:rsid w:val="00C0555A"/>
    <w:rsid w:val="00C05E5E"/>
    <w:rsid w:val="00C06E56"/>
    <w:rsid w:val="00C07593"/>
    <w:rsid w:val="00C07FE2"/>
    <w:rsid w:val="00C117C0"/>
    <w:rsid w:val="00C12104"/>
    <w:rsid w:val="00C13B38"/>
    <w:rsid w:val="00C13B3B"/>
    <w:rsid w:val="00C140E7"/>
    <w:rsid w:val="00C14FEC"/>
    <w:rsid w:val="00C15C5C"/>
    <w:rsid w:val="00C171D3"/>
    <w:rsid w:val="00C174C1"/>
    <w:rsid w:val="00C174D5"/>
    <w:rsid w:val="00C177F3"/>
    <w:rsid w:val="00C20567"/>
    <w:rsid w:val="00C20D4F"/>
    <w:rsid w:val="00C21378"/>
    <w:rsid w:val="00C22623"/>
    <w:rsid w:val="00C22808"/>
    <w:rsid w:val="00C22AC5"/>
    <w:rsid w:val="00C22B7D"/>
    <w:rsid w:val="00C303DB"/>
    <w:rsid w:val="00C30637"/>
    <w:rsid w:val="00C310E0"/>
    <w:rsid w:val="00C31E36"/>
    <w:rsid w:val="00C32DE2"/>
    <w:rsid w:val="00C33D5E"/>
    <w:rsid w:val="00C33FCD"/>
    <w:rsid w:val="00C3407A"/>
    <w:rsid w:val="00C34618"/>
    <w:rsid w:val="00C34A26"/>
    <w:rsid w:val="00C34B36"/>
    <w:rsid w:val="00C353E0"/>
    <w:rsid w:val="00C35691"/>
    <w:rsid w:val="00C356BE"/>
    <w:rsid w:val="00C3586B"/>
    <w:rsid w:val="00C358DC"/>
    <w:rsid w:val="00C366AA"/>
    <w:rsid w:val="00C37EEE"/>
    <w:rsid w:val="00C40278"/>
    <w:rsid w:val="00C4083F"/>
    <w:rsid w:val="00C41F62"/>
    <w:rsid w:val="00C434CA"/>
    <w:rsid w:val="00C43CFC"/>
    <w:rsid w:val="00C43FEC"/>
    <w:rsid w:val="00C444B7"/>
    <w:rsid w:val="00C448D6"/>
    <w:rsid w:val="00C4503C"/>
    <w:rsid w:val="00C46799"/>
    <w:rsid w:val="00C46B3E"/>
    <w:rsid w:val="00C47C08"/>
    <w:rsid w:val="00C50CDE"/>
    <w:rsid w:val="00C50FE7"/>
    <w:rsid w:val="00C51418"/>
    <w:rsid w:val="00C52044"/>
    <w:rsid w:val="00C5220C"/>
    <w:rsid w:val="00C52334"/>
    <w:rsid w:val="00C530F6"/>
    <w:rsid w:val="00C536B4"/>
    <w:rsid w:val="00C54CD4"/>
    <w:rsid w:val="00C54D1C"/>
    <w:rsid w:val="00C550A1"/>
    <w:rsid w:val="00C56738"/>
    <w:rsid w:val="00C5699A"/>
    <w:rsid w:val="00C57E14"/>
    <w:rsid w:val="00C6077F"/>
    <w:rsid w:val="00C63EE8"/>
    <w:rsid w:val="00C64635"/>
    <w:rsid w:val="00C64793"/>
    <w:rsid w:val="00C64AAF"/>
    <w:rsid w:val="00C65265"/>
    <w:rsid w:val="00C6725B"/>
    <w:rsid w:val="00C6760A"/>
    <w:rsid w:val="00C74124"/>
    <w:rsid w:val="00C74C9E"/>
    <w:rsid w:val="00C75070"/>
    <w:rsid w:val="00C7515D"/>
    <w:rsid w:val="00C7612B"/>
    <w:rsid w:val="00C76827"/>
    <w:rsid w:val="00C76D6B"/>
    <w:rsid w:val="00C76E10"/>
    <w:rsid w:val="00C7778F"/>
    <w:rsid w:val="00C77D33"/>
    <w:rsid w:val="00C811FE"/>
    <w:rsid w:val="00C81D55"/>
    <w:rsid w:val="00C81EAE"/>
    <w:rsid w:val="00C82809"/>
    <w:rsid w:val="00C837BC"/>
    <w:rsid w:val="00C83E49"/>
    <w:rsid w:val="00C84027"/>
    <w:rsid w:val="00C845D3"/>
    <w:rsid w:val="00C848A1"/>
    <w:rsid w:val="00C8712F"/>
    <w:rsid w:val="00C871E4"/>
    <w:rsid w:val="00C90311"/>
    <w:rsid w:val="00C90F95"/>
    <w:rsid w:val="00C93456"/>
    <w:rsid w:val="00C93B87"/>
    <w:rsid w:val="00C9463B"/>
    <w:rsid w:val="00C959E8"/>
    <w:rsid w:val="00C96623"/>
    <w:rsid w:val="00CA12E0"/>
    <w:rsid w:val="00CA14FD"/>
    <w:rsid w:val="00CA194C"/>
    <w:rsid w:val="00CA1FB2"/>
    <w:rsid w:val="00CA2D71"/>
    <w:rsid w:val="00CA2E70"/>
    <w:rsid w:val="00CA3A01"/>
    <w:rsid w:val="00CA5840"/>
    <w:rsid w:val="00CA6880"/>
    <w:rsid w:val="00CB05BC"/>
    <w:rsid w:val="00CB06AF"/>
    <w:rsid w:val="00CB082E"/>
    <w:rsid w:val="00CB2162"/>
    <w:rsid w:val="00CB29B2"/>
    <w:rsid w:val="00CB4286"/>
    <w:rsid w:val="00CB5C75"/>
    <w:rsid w:val="00CB5E6F"/>
    <w:rsid w:val="00CB6891"/>
    <w:rsid w:val="00CB6AF6"/>
    <w:rsid w:val="00CB6DBF"/>
    <w:rsid w:val="00CB74CF"/>
    <w:rsid w:val="00CB7B06"/>
    <w:rsid w:val="00CB7CB2"/>
    <w:rsid w:val="00CB7DC8"/>
    <w:rsid w:val="00CC0DF3"/>
    <w:rsid w:val="00CC11E5"/>
    <w:rsid w:val="00CC2330"/>
    <w:rsid w:val="00CC24F9"/>
    <w:rsid w:val="00CC250B"/>
    <w:rsid w:val="00CC276E"/>
    <w:rsid w:val="00CC2E5F"/>
    <w:rsid w:val="00CC3320"/>
    <w:rsid w:val="00CC450A"/>
    <w:rsid w:val="00CC47D5"/>
    <w:rsid w:val="00CC646F"/>
    <w:rsid w:val="00CC7350"/>
    <w:rsid w:val="00CD190C"/>
    <w:rsid w:val="00CD2081"/>
    <w:rsid w:val="00CD29F4"/>
    <w:rsid w:val="00CD2CEC"/>
    <w:rsid w:val="00CD3254"/>
    <w:rsid w:val="00CD5EA6"/>
    <w:rsid w:val="00CD5F76"/>
    <w:rsid w:val="00CE0138"/>
    <w:rsid w:val="00CE19EA"/>
    <w:rsid w:val="00CE1E36"/>
    <w:rsid w:val="00CE2AEE"/>
    <w:rsid w:val="00CE3A69"/>
    <w:rsid w:val="00CE40B6"/>
    <w:rsid w:val="00CE537F"/>
    <w:rsid w:val="00CE53E2"/>
    <w:rsid w:val="00CE5873"/>
    <w:rsid w:val="00CE58C6"/>
    <w:rsid w:val="00CE723D"/>
    <w:rsid w:val="00CE7CDC"/>
    <w:rsid w:val="00CF139A"/>
    <w:rsid w:val="00CF4117"/>
    <w:rsid w:val="00CF4924"/>
    <w:rsid w:val="00CF5421"/>
    <w:rsid w:val="00D0119D"/>
    <w:rsid w:val="00D01F83"/>
    <w:rsid w:val="00D03004"/>
    <w:rsid w:val="00D041FC"/>
    <w:rsid w:val="00D04DDA"/>
    <w:rsid w:val="00D0597B"/>
    <w:rsid w:val="00D05E88"/>
    <w:rsid w:val="00D05F29"/>
    <w:rsid w:val="00D06AD2"/>
    <w:rsid w:val="00D0734D"/>
    <w:rsid w:val="00D075E4"/>
    <w:rsid w:val="00D07F2A"/>
    <w:rsid w:val="00D10297"/>
    <w:rsid w:val="00D10CBC"/>
    <w:rsid w:val="00D1208D"/>
    <w:rsid w:val="00D124E0"/>
    <w:rsid w:val="00D12F14"/>
    <w:rsid w:val="00D130D0"/>
    <w:rsid w:val="00D1496D"/>
    <w:rsid w:val="00D14A75"/>
    <w:rsid w:val="00D14FEF"/>
    <w:rsid w:val="00D152BD"/>
    <w:rsid w:val="00D158AE"/>
    <w:rsid w:val="00D16008"/>
    <w:rsid w:val="00D16472"/>
    <w:rsid w:val="00D16FE0"/>
    <w:rsid w:val="00D17BA1"/>
    <w:rsid w:val="00D213FE"/>
    <w:rsid w:val="00D2148B"/>
    <w:rsid w:val="00D216FC"/>
    <w:rsid w:val="00D2299F"/>
    <w:rsid w:val="00D22FFB"/>
    <w:rsid w:val="00D235A7"/>
    <w:rsid w:val="00D2395F"/>
    <w:rsid w:val="00D239A3"/>
    <w:rsid w:val="00D2635F"/>
    <w:rsid w:val="00D2709C"/>
    <w:rsid w:val="00D27120"/>
    <w:rsid w:val="00D30ACA"/>
    <w:rsid w:val="00D3113C"/>
    <w:rsid w:val="00D314FC"/>
    <w:rsid w:val="00D31CEF"/>
    <w:rsid w:val="00D32076"/>
    <w:rsid w:val="00D32170"/>
    <w:rsid w:val="00D33716"/>
    <w:rsid w:val="00D33DE4"/>
    <w:rsid w:val="00D34231"/>
    <w:rsid w:val="00D36D71"/>
    <w:rsid w:val="00D3725B"/>
    <w:rsid w:val="00D41C0C"/>
    <w:rsid w:val="00D420F2"/>
    <w:rsid w:val="00D42564"/>
    <w:rsid w:val="00D42BFD"/>
    <w:rsid w:val="00D438BF"/>
    <w:rsid w:val="00D43A4C"/>
    <w:rsid w:val="00D44BB9"/>
    <w:rsid w:val="00D47096"/>
    <w:rsid w:val="00D4741F"/>
    <w:rsid w:val="00D501B3"/>
    <w:rsid w:val="00D50A54"/>
    <w:rsid w:val="00D51036"/>
    <w:rsid w:val="00D51875"/>
    <w:rsid w:val="00D52F63"/>
    <w:rsid w:val="00D5318D"/>
    <w:rsid w:val="00D53555"/>
    <w:rsid w:val="00D53F22"/>
    <w:rsid w:val="00D556BA"/>
    <w:rsid w:val="00D55B73"/>
    <w:rsid w:val="00D578B8"/>
    <w:rsid w:val="00D57FC2"/>
    <w:rsid w:val="00D60110"/>
    <w:rsid w:val="00D602E9"/>
    <w:rsid w:val="00D60597"/>
    <w:rsid w:val="00D62278"/>
    <w:rsid w:val="00D6275B"/>
    <w:rsid w:val="00D62CD4"/>
    <w:rsid w:val="00D6339D"/>
    <w:rsid w:val="00D636DB"/>
    <w:rsid w:val="00D63F04"/>
    <w:rsid w:val="00D65224"/>
    <w:rsid w:val="00D6769B"/>
    <w:rsid w:val="00D67FCC"/>
    <w:rsid w:val="00D70AE1"/>
    <w:rsid w:val="00D7234B"/>
    <w:rsid w:val="00D735B8"/>
    <w:rsid w:val="00D74270"/>
    <w:rsid w:val="00D74AAF"/>
    <w:rsid w:val="00D74BD0"/>
    <w:rsid w:val="00D7581D"/>
    <w:rsid w:val="00D76166"/>
    <w:rsid w:val="00D76F60"/>
    <w:rsid w:val="00D80133"/>
    <w:rsid w:val="00D80170"/>
    <w:rsid w:val="00D80298"/>
    <w:rsid w:val="00D80727"/>
    <w:rsid w:val="00D82B0A"/>
    <w:rsid w:val="00D832AE"/>
    <w:rsid w:val="00D83C2A"/>
    <w:rsid w:val="00D84F0B"/>
    <w:rsid w:val="00D85759"/>
    <w:rsid w:val="00D8654E"/>
    <w:rsid w:val="00D86790"/>
    <w:rsid w:val="00D87417"/>
    <w:rsid w:val="00D87D82"/>
    <w:rsid w:val="00D90CF5"/>
    <w:rsid w:val="00D9174A"/>
    <w:rsid w:val="00D92551"/>
    <w:rsid w:val="00D938F3"/>
    <w:rsid w:val="00D9451F"/>
    <w:rsid w:val="00D94AE3"/>
    <w:rsid w:val="00D95259"/>
    <w:rsid w:val="00D96846"/>
    <w:rsid w:val="00D9734B"/>
    <w:rsid w:val="00DA0D38"/>
    <w:rsid w:val="00DA200D"/>
    <w:rsid w:val="00DA2192"/>
    <w:rsid w:val="00DA278C"/>
    <w:rsid w:val="00DA284F"/>
    <w:rsid w:val="00DA2A42"/>
    <w:rsid w:val="00DA2E75"/>
    <w:rsid w:val="00DA2F49"/>
    <w:rsid w:val="00DA3198"/>
    <w:rsid w:val="00DA3757"/>
    <w:rsid w:val="00DA3881"/>
    <w:rsid w:val="00DA440A"/>
    <w:rsid w:val="00DA46B1"/>
    <w:rsid w:val="00DA5AA0"/>
    <w:rsid w:val="00DA5B90"/>
    <w:rsid w:val="00DA6F9E"/>
    <w:rsid w:val="00DA728B"/>
    <w:rsid w:val="00DA7723"/>
    <w:rsid w:val="00DB0C93"/>
    <w:rsid w:val="00DB0F9D"/>
    <w:rsid w:val="00DB16B9"/>
    <w:rsid w:val="00DB184F"/>
    <w:rsid w:val="00DB32EA"/>
    <w:rsid w:val="00DB4464"/>
    <w:rsid w:val="00DB4710"/>
    <w:rsid w:val="00DB49CC"/>
    <w:rsid w:val="00DB4A65"/>
    <w:rsid w:val="00DB602C"/>
    <w:rsid w:val="00DB7604"/>
    <w:rsid w:val="00DC0B64"/>
    <w:rsid w:val="00DC0CEB"/>
    <w:rsid w:val="00DC10A5"/>
    <w:rsid w:val="00DC1ECE"/>
    <w:rsid w:val="00DC33C1"/>
    <w:rsid w:val="00DC3EA1"/>
    <w:rsid w:val="00DC4A27"/>
    <w:rsid w:val="00DC4CA3"/>
    <w:rsid w:val="00DC4D75"/>
    <w:rsid w:val="00DC5298"/>
    <w:rsid w:val="00DC6CB2"/>
    <w:rsid w:val="00DC7C37"/>
    <w:rsid w:val="00DD02D9"/>
    <w:rsid w:val="00DD3748"/>
    <w:rsid w:val="00DD3F60"/>
    <w:rsid w:val="00DD4ED8"/>
    <w:rsid w:val="00DD5768"/>
    <w:rsid w:val="00DD5E2B"/>
    <w:rsid w:val="00DD653C"/>
    <w:rsid w:val="00DD6692"/>
    <w:rsid w:val="00DD6966"/>
    <w:rsid w:val="00DD719F"/>
    <w:rsid w:val="00DD7E6C"/>
    <w:rsid w:val="00DE0A97"/>
    <w:rsid w:val="00DE0AA5"/>
    <w:rsid w:val="00DE0CDA"/>
    <w:rsid w:val="00DE1708"/>
    <w:rsid w:val="00DE2555"/>
    <w:rsid w:val="00DE2E71"/>
    <w:rsid w:val="00DE3580"/>
    <w:rsid w:val="00DE3A77"/>
    <w:rsid w:val="00DE3C7D"/>
    <w:rsid w:val="00DE56E0"/>
    <w:rsid w:val="00DE58EE"/>
    <w:rsid w:val="00DE716A"/>
    <w:rsid w:val="00DF0BCD"/>
    <w:rsid w:val="00DF1515"/>
    <w:rsid w:val="00DF23BE"/>
    <w:rsid w:val="00DF2473"/>
    <w:rsid w:val="00DF2589"/>
    <w:rsid w:val="00DF346E"/>
    <w:rsid w:val="00DF3617"/>
    <w:rsid w:val="00DF41B5"/>
    <w:rsid w:val="00DF4ECA"/>
    <w:rsid w:val="00DF53F2"/>
    <w:rsid w:val="00DF6230"/>
    <w:rsid w:val="00DF642E"/>
    <w:rsid w:val="00DF64CA"/>
    <w:rsid w:val="00DF660A"/>
    <w:rsid w:val="00DF6C49"/>
    <w:rsid w:val="00DF70B7"/>
    <w:rsid w:val="00DF7413"/>
    <w:rsid w:val="00DF79CC"/>
    <w:rsid w:val="00DF7EF4"/>
    <w:rsid w:val="00E00011"/>
    <w:rsid w:val="00E0061F"/>
    <w:rsid w:val="00E00A81"/>
    <w:rsid w:val="00E01A32"/>
    <w:rsid w:val="00E01AD8"/>
    <w:rsid w:val="00E01DC5"/>
    <w:rsid w:val="00E022D3"/>
    <w:rsid w:val="00E037D0"/>
    <w:rsid w:val="00E04A11"/>
    <w:rsid w:val="00E04DB8"/>
    <w:rsid w:val="00E05075"/>
    <w:rsid w:val="00E05A8B"/>
    <w:rsid w:val="00E06644"/>
    <w:rsid w:val="00E069FD"/>
    <w:rsid w:val="00E100A9"/>
    <w:rsid w:val="00E10383"/>
    <w:rsid w:val="00E112CD"/>
    <w:rsid w:val="00E12723"/>
    <w:rsid w:val="00E137C3"/>
    <w:rsid w:val="00E13BF1"/>
    <w:rsid w:val="00E13D31"/>
    <w:rsid w:val="00E140C9"/>
    <w:rsid w:val="00E1443A"/>
    <w:rsid w:val="00E14C6B"/>
    <w:rsid w:val="00E15C2A"/>
    <w:rsid w:val="00E16008"/>
    <w:rsid w:val="00E177C2"/>
    <w:rsid w:val="00E179F6"/>
    <w:rsid w:val="00E200B5"/>
    <w:rsid w:val="00E2052F"/>
    <w:rsid w:val="00E20DDF"/>
    <w:rsid w:val="00E223AC"/>
    <w:rsid w:val="00E22A34"/>
    <w:rsid w:val="00E22F23"/>
    <w:rsid w:val="00E239C7"/>
    <w:rsid w:val="00E23E54"/>
    <w:rsid w:val="00E24C84"/>
    <w:rsid w:val="00E25B74"/>
    <w:rsid w:val="00E26B49"/>
    <w:rsid w:val="00E2752B"/>
    <w:rsid w:val="00E275D1"/>
    <w:rsid w:val="00E30A68"/>
    <w:rsid w:val="00E31087"/>
    <w:rsid w:val="00E313F1"/>
    <w:rsid w:val="00E31754"/>
    <w:rsid w:val="00E32489"/>
    <w:rsid w:val="00E3276B"/>
    <w:rsid w:val="00E34467"/>
    <w:rsid w:val="00E3526D"/>
    <w:rsid w:val="00E353D6"/>
    <w:rsid w:val="00E3672F"/>
    <w:rsid w:val="00E36CC0"/>
    <w:rsid w:val="00E36FEC"/>
    <w:rsid w:val="00E3756F"/>
    <w:rsid w:val="00E37B17"/>
    <w:rsid w:val="00E403C6"/>
    <w:rsid w:val="00E425ED"/>
    <w:rsid w:val="00E42B64"/>
    <w:rsid w:val="00E435B8"/>
    <w:rsid w:val="00E43D01"/>
    <w:rsid w:val="00E44FFE"/>
    <w:rsid w:val="00E46249"/>
    <w:rsid w:val="00E47DC9"/>
    <w:rsid w:val="00E47E06"/>
    <w:rsid w:val="00E5029C"/>
    <w:rsid w:val="00E50748"/>
    <w:rsid w:val="00E50F10"/>
    <w:rsid w:val="00E51DB4"/>
    <w:rsid w:val="00E53CF7"/>
    <w:rsid w:val="00E54B61"/>
    <w:rsid w:val="00E556C3"/>
    <w:rsid w:val="00E5588A"/>
    <w:rsid w:val="00E562CA"/>
    <w:rsid w:val="00E568DD"/>
    <w:rsid w:val="00E570F3"/>
    <w:rsid w:val="00E57507"/>
    <w:rsid w:val="00E57A44"/>
    <w:rsid w:val="00E60904"/>
    <w:rsid w:val="00E60E27"/>
    <w:rsid w:val="00E611C0"/>
    <w:rsid w:val="00E61E6D"/>
    <w:rsid w:val="00E62E17"/>
    <w:rsid w:val="00E6360B"/>
    <w:rsid w:val="00E63BBF"/>
    <w:rsid w:val="00E63FFF"/>
    <w:rsid w:val="00E646EA"/>
    <w:rsid w:val="00E64E47"/>
    <w:rsid w:val="00E655AE"/>
    <w:rsid w:val="00E669BD"/>
    <w:rsid w:val="00E67628"/>
    <w:rsid w:val="00E702AA"/>
    <w:rsid w:val="00E717FF"/>
    <w:rsid w:val="00E72031"/>
    <w:rsid w:val="00E72A11"/>
    <w:rsid w:val="00E72C93"/>
    <w:rsid w:val="00E72ED7"/>
    <w:rsid w:val="00E7395F"/>
    <w:rsid w:val="00E75DFD"/>
    <w:rsid w:val="00E76230"/>
    <w:rsid w:val="00E76F83"/>
    <w:rsid w:val="00E76FA5"/>
    <w:rsid w:val="00E77132"/>
    <w:rsid w:val="00E771B4"/>
    <w:rsid w:val="00E7785D"/>
    <w:rsid w:val="00E77F50"/>
    <w:rsid w:val="00E80FAB"/>
    <w:rsid w:val="00E80FD4"/>
    <w:rsid w:val="00E8113D"/>
    <w:rsid w:val="00E82202"/>
    <w:rsid w:val="00E82605"/>
    <w:rsid w:val="00E828B7"/>
    <w:rsid w:val="00E82D8B"/>
    <w:rsid w:val="00E83C61"/>
    <w:rsid w:val="00E852CA"/>
    <w:rsid w:val="00E85D4F"/>
    <w:rsid w:val="00E87FC4"/>
    <w:rsid w:val="00E90187"/>
    <w:rsid w:val="00E903A7"/>
    <w:rsid w:val="00E91909"/>
    <w:rsid w:val="00E926A0"/>
    <w:rsid w:val="00E929B4"/>
    <w:rsid w:val="00E930E5"/>
    <w:rsid w:val="00E93294"/>
    <w:rsid w:val="00E93577"/>
    <w:rsid w:val="00E936C4"/>
    <w:rsid w:val="00E94523"/>
    <w:rsid w:val="00E9487E"/>
    <w:rsid w:val="00E94CFC"/>
    <w:rsid w:val="00E95B06"/>
    <w:rsid w:val="00E95EFE"/>
    <w:rsid w:val="00EA013E"/>
    <w:rsid w:val="00EA03DB"/>
    <w:rsid w:val="00EA0711"/>
    <w:rsid w:val="00EA0996"/>
    <w:rsid w:val="00EA0FA8"/>
    <w:rsid w:val="00EA136A"/>
    <w:rsid w:val="00EA19BA"/>
    <w:rsid w:val="00EA2197"/>
    <w:rsid w:val="00EA3116"/>
    <w:rsid w:val="00EA42EA"/>
    <w:rsid w:val="00EA4805"/>
    <w:rsid w:val="00EA4825"/>
    <w:rsid w:val="00EA5D08"/>
    <w:rsid w:val="00EA6CBC"/>
    <w:rsid w:val="00EB0F3A"/>
    <w:rsid w:val="00EB0FD3"/>
    <w:rsid w:val="00EB14C3"/>
    <w:rsid w:val="00EB2F8E"/>
    <w:rsid w:val="00EB3182"/>
    <w:rsid w:val="00EB3C62"/>
    <w:rsid w:val="00EB59C7"/>
    <w:rsid w:val="00EB635C"/>
    <w:rsid w:val="00EB6700"/>
    <w:rsid w:val="00EB752E"/>
    <w:rsid w:val="00EC1939"/>
    <w:rsid w:val="00EC3631"/>
    <w:rsid w:val="00EC378B"/>
    <w:rsid w:val="00EC44DB"/>
    <w:rsid w:val="00EC4884"/>
    <w:rsid w:val="00EC4906"/>
    <w:rsid w:val="00EC51B9"/>
    <w:rsid w:val="00EC5B82"/>
    <w:rsid w:val="00EC5D68"/>
    <w:rsid w:val="00EC5F24"/>
    <w:rsid w:val="00EC6113"/>
    <w:rsid w:val="00EC6572"/>
    <w:rsid w:val="00EC6A43"/>
    <w:rsid w:val="00EC6B94"/>
    <w:rsid w:val="00ED1115"/>
    <w:rsid w:val="00ED1271"/>
    <w:rsid w:val="00ED15EF"/>
    <w:rsid w:val="00ED17C8"/>
    <w:rsid w:val="00ED279C"/>
    <w:rsid w:val="00ED3695"/>
    <w:rsid w:val="00ED4BD8"/>
    <w:rsid w:val="00ED4FF7"/>
    <w:rsid w:val="00ED6942"/>
    <w:rsid w:val="00ED6F32"/>
    <w:rsid w:val="00ED7A5B"/>
    <w:rsid w:val="00EE0AE4"/>
    <w:rsid w:val="00EE0B1C"/>
    <w:rsid w:val="00EE17BB"/>
    <w:rsid w:val="00EE1984"/>
    <w:rsid w:val="00EE1BD2"/>
    <w:rsid w:val="00EE36F3"/>
    <w:rsid w:val="00EE4F35"/>
    <w:rsid w:val="00EE5604"/>
    <w:rsid w:val="00EE579E"/>
    <w:rsid w:val="00EE74EC"/>
    <w:rsid w:val="00EE7CF2"/>
    <w:rsid w:val="00EF07A1"/>
    <w:rsid w:val="00EF0988"/>
    <w:rsid w:val="00EF11C5"/>
    <w:rsid w:val="00EF1944"/>
    <w:rsid w:val="00EF280C"/>
    <w:rsid w:val="00EF2C8D"/>
    <w:rsid w:val="00EF3485"/>
    <w:rsid w:val="00EF42A1"/>
    <w:rsid w:val="00EF4A10"/>
    <w:rsid w:val="00EF52A3"/>
    <w:rsid w:val="00EF65FA"/>
    <w:rsid w:val="00EF6FCD"/>
    <w:rsid w:val="00EF78D3"/>
    <w:rsid w:val="00F004B2"/>
    <w:rsid w:val="00F0085E"/>
    <w:rsid w:val="00F00F86"/>
    <w:rsid w:val="00F028EB"/>
    <w:rsid w:val="00F02BF3"/>
    <w:rsid w:val="00F03650"/>
    <w:rsid w:val="00F03840"/>
    <w:rsid w:val="00F03987"/>
    <w:rsid w:val="00F03A64"/>
    <w:rsid w:val="00F0499C"/>
    <w:rsid w:val="00F06F5A"/>
    <w:rsid w:val="00F103E1"/>
    <w:rsid w:val="00F10420"/>
    <w:rsid w:val="00F11177"/>
    <w:rsid w:val="00F11CEF"/>
    <w:rsid w:val="00F12028"/>
    <w:rsid w:val="00F1281F"/>
    <w:rsid w:val="00F12D88"/>
    <w:rsid w:val="00F12E26"/>
    <w:rsid w:val="00F145AE"/>
    <w:rsid w:val="00F15312"/>
    <w:rsid w:val="00F17516"/>
    <w:rsid w:val="00F21878"/>
    <w:rsid w:val="00F219C0"/>
    <w:rsid w:val="00F21EC1"/>
    <w:rsid w:val="00F21EC8"/>
    <w:rsid w:val="00F228DB"/>
    <w:rsid w:val="00F2297D"/>
    <w:rsid w:val="00F23EA4"/>
    <w:rsid w:val="00F23F67"/>
    <w:rsid w:val="00F25110"/>
    <w:rsid w:val="00F25AAF"/>
    <w:rsid w:val="00F25AB7"/>
    <w:rsid w:val="00F26FB4"/>
    <w:rsid w:val="00F2778F"/>
    <w:rsid w:val="00F30B7C"/>
    <w:rsid w:val="00F310B0"/>
    <w:rsid w:val="00F3342E"/>
    <w:rsid w:val="00F3386D"/>
    <w:rsid w:val="00F33F46"/>
    <w:rsid w:val="00F3447B"/>
    <w:rsid w:val="00F35A59"/>
    <w:rsid w:val="00F3665C"/>
    <w:rsid w:val="00F36876"/>
    <w:rsid w:val="00F379EB"/>
    <w:rsid w:val="00F40366"/>
    <w:rsid w:val="00F42C4D"/>
    <w:rsid w:val="00F432CF"/>
    <w:rsid w:val="00F43371"/>
    <w:rsid w:val="00F43E97"/>
    <w:rsid w:val="00F447D1"/>
    <w:rsid w:val="00F46816"/>
    <w:rsid w:val="00F47485"/>
    <w:rsid w:val="00F474A2"/>
    <w:rsid w:val="00F4797E"/>
    <w:rsid w:val="00F50129"/>
    <w:rsid w:val="00F51B5B"/>
    <w:rsid w:val="00F52115"/>
    <w:rsid w:val="00F529AF"/>
    <w:rsid w:val="00F52A2F"/>
    <w:rsid w:val="00F53FA7"/>
    <w:rsid w:val="00F548B8"/>
    <w:rsid w:val="00F552C4"/>
    <w:rsid w:val="00F554FF"/>
    <w:rsid w:val="00F557D1"/>
    <w:rsid w:val="00F563BD"/>
    <w:rsid w:val="00F56E7A"/>
    <w:rsid w:val="00F57CB3"/>
    <w:rsid w:val="00F57F5B"/>
    <w:rsid w:val="00F57FFA"/>
    <w:rsid w:val="00F60EAB"/>
    <w:rsid w:val="00F61997"/>
    <w:rsid w:val="00F621DF"/>
    <w:rsid w:val="00F63E4E"/>
    <w:rsid w:val="00F653B8"/>
    <w:rsid w:val="00F65F0F"/>
    <w:rsid w:val="00F65F34"/>
    <w:rsid w:val="00F67FA2"/>
    <w:rsid w:val="00F70676"/>
    <w:rsid w:val="00F7067A"/>
    <w:rsid w:val="00F70D28"/>
    <w:rsid w:val="00F70F3B"/>
    <w:rsid w:val="00F71745"/>
    <w:rsid w:val="00F74E02"/>
    <w:rsid w:val="00F75AC0"/>
    <w:rsid w:val="00F813C8"/>
    <w:rsid w:val="00F83F16"/>
    <w:rsid w:val="00F84702"/>
    <w:rsid w:val="00F849A2"/>
    <w:rsid w:val="00F85B64"/>
    <w:rsid w:val="00F85D00"/>
    <w:rsid w:val="00F86305"/>
    <w:rsid w:val="00F864AB"/>
    <w:rsid w:val="00F86761"/>
    <w:rsid w:val="00F86D2B"/>
    <w:rsid w:val="00F86EB6"/>
    <w:rsid w:val="00F87224"/>
    <w:rsid w:val="00F909CD"/>
    <w:rsid w:val="00F90B72"/>
    <w:rsid w:val="00F91669"/>
    <w:rsid w:val="00F91864"/>
    <w:rsid w:val="00F921B0"/>
    <w:rsid w:val="00F92812"/>
    <w:rsid w:val="00F92A74"/>
    <w:rsid w:val="00F93098"/>
    <w:rsid w:val="00F93DBA"/>
    <w:rsid w:val="00F95297"/>
    <w:rsid w:val="00F952EC"/>
    <w:rsid w:val="00F95E8F"/>
    <w:rsid w:val="00F96DB1"/>
    <w:rsid w:val="00F971E7"/>
    <w:rsid w:val="00F971FF"/>
    <w:rsid w:val="00F973C7"/>
    <w:rsid w:val="00FA1333"/>
    <w:rsid w:val="00FA19E8"/>
    <w:rsid w:val="00FA1C73"/>
    <w:rsid w:val="00FA2CBB"/>
    <w:rsid w:val="00FA2DFD"/>
    <w:rsid w:val="00FA39B8"/>
    <w:rsid w:val="00FA4686"/>
    <w:rsid w:val="00FA515A"/>
    <w:rsid w:val="00FA596F"/>
    <w:rsid w:val="00FA63A1"/>
    <w:rsid w:val="00FA6D51"/>
    <w:rsid w:val="00FA75EC"/>
    <w:rsid w:val="00FA78AF"/>
    <w:rsid w:val="00FB0940"/>
    <w:rsid w:val="00FB1756"/>
    <w:rsid w:val="00FB17CD"/>
    <w:rsid w:val="00FB18EE"/>
    <w:rsid w:val="00FB1A9E"/>
    <w:rsid w:val="00FB27A3"/>
    <w:rsid w:val="00FB37B4"/>
    <w:rsid w:val="00FB4A23"/>
    <w:rsid w:val="00FB518F"/>
    <w:rsid w:val="00FB5697"/>
    <w:rsid w:val="00FB5E3F"/>
    <w:rsid w:val="00FB5F48"/>
    <w:rsid w:val="00FB6538"/>
    <w:rsid w:val="00FB715D"/>
    <w:rsid w:val="00FB718A"/>
    <w:rsid w:val="00FC0464"/>
    <w:rsid w:val="00FC1215"/>
    <w:rsid w:val="00FC1805"/>
    <w:rsid w:val="00FC1838"/>
    <w:rsid w:val="00FC279D"/>
    <w:rsid w:val="00FC3624"/>
    <w:rsid w:val="00FC7488"/>
    <w:rsid w:val="00FD1C85"/>
    <w:rsid w:val="00FD2176"/>
    <w:rsid w:val="00FD4423"/>
    <w:rsid w:val="00FD576A"/>
    <w:rsid w:val="00FD6351"/>
    <w:rsid w:val="00FD6FC9"/>
    <w:rsid w:val="00FD72E3"/>
    <w:rsid w:val="00FD7888"/>
    <w:rsid w:val="00FE0507"/>
    <w:rsid w:val="00FE0A3B"/>
    <w:rsid w:val="00FE19CC"/>
    <w:rsid w:val="00FE26DB"/>
    <w:rsid w:val="00FE2A57"/>
    <w:rsid w:val="00FE2F51"/>
    <w:rsid w:val="00FE35F6"/>
    <w:rsid w:val="00FE369D"/>
    <w:rsid w:val="00FE527D"/>
    <w:rsid w:val="00FE5D68"/>
    <w:rsid w:val="00FE5DAF"/>
    <w:rsid w:val="00FE6442"/>
    <w:rsid w:val="00FE7DD1"/>
    <w:rsid w:val="00FF01AE"/>
    <w:rsid w:val="00FF0E2F"/>
    <w:rsid w:val="00FF1358"/>
    <w:rsid w:val="00FF2F66"/>
    <w:rsid w:val="00FF3402"/>
    <w:rsid w:val="00FF38EC"/>
    <w:rsid w:val="00FF3AC7"/>
    <w:rsid w:val="00FF3E87"/>
    <w:rsid w:val="00FF5C7D"/>
    <w:rsid w:val="00FF6076"/>
    <w:rsid w:val="00FF61A1"/>
    <w:rsid w:val="00FF6984"/>
    <w:rsid w:val="00FF69DB"/>
    <w:rsid w:val="00FF6D5B"/>
    <w:rsid w:val="00FF6DE1"/>
    <w:rsid w:val="00FF6F73"/>
    <w:rsid w:val="358F6BF6"/>
    <w:rsid w:val="4D6D1DE7"/>
    <w:rsid w:val="540D2712"/>
    <w:rsid w:val="55B33876"/>
    <w:rsid w:val="582E0870"/>
    <w:rsid w:val="719A4547"/>
    <w:rsid w:val="7AA94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仿宋_GB2312" w:cs="Times New Roman"/>
      <w:kern w:val="0"/>
      <w:sz w:val="32"/>
      <w:szCs w:val="32"/>
      <w:lang w:val="en-US" w:eastAsia="zh-CN" w:bidi="ar-SA"/>
    </w:rPr>
  </w:style>
  <w:style w:type="character" w:default="1" w:styleId="11">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semiHidden/>
    <w:unhideWhenUsed/>
    <w:qFormat/>
    <w:uiPriority w:val="0"/>
    <w:rPr>
      <w:rFonts w:eastAsia="宋体"/>
      <w:b/>
      <w:bCs/>
      <w:kern w:val="2"/>
      <w:sz w:val="30"/>
      <w:szCs w:val="24"/>
    </w:rPr>
  </w:style>
  <w:style w:type="paragraph" w:styleId="3">
    <w:name w:val="Plain Text"/>
    <w:basedOn w:val="1"/>
    <w:link w:val="16"/>
    <w:semiHidden/>
    <w:unhideWhenUsed/>
    <w:qFormat/>
    <w:uiPriority w:val="0"/>
    <w:rPr>
      <w:rFonts w:ascii="宋体" w:hAnsi="Courier New" w:eastAsia="宋体" w:cs="Courier New"/>
      <w:kern w:val="2"/>
      <w:sz w:val="21"/>
      <w:szCs w:val="21"/>
    </w:rPr>
  </w:style>
  <w:style w:type="paragraph" w:styleId="4">
    <w:name w:val="Date"/>
    <w:basedOn w:val="1"/>
    <w:next w:val="1"/>
    <w:link w:val="15"/>
    <w:semiHidden/>
    <w:unhideWhenUsed/>
    <w:qFormat/>
    <w:uiPriority w:val="0"/>
    <w:pPr>
      <w:ind w:left="100" w:leftChars="2500"/>
    </w:pPr>
    <w:rPr>
      <w:rFonts w:eastAsia="宋体"/>
      <w:kern w:val="2"/>
      <w:sz w:val="21"/>
      <w:szCs w:val="24"/>
    </w:rPr>
  </w:style>
  <w:style w:type="paragraph" w:styleId="5">
    <w:name w:val="Balloon Text"/>
    <w:basedOn w:val="1"/>
    <w:link w:val="17"/>
    <w:semiHidden/>
    <w:unhideWhenUsed/>
    <w:uiPriority w:val="0"/>
    <w:rPr>
      <w:sz w:val="18"/>
      <w:szCs w:val="18"/>
    </w:rPr>
  </w:style>
  <w:style w:type="paragraph" w:styleId="6">
    <w:name w:val="footer"/>
    <w:basedOn w:val="1"/>
    <w:link w:val="13"/>
    <w:semiHidden/>
    <w:unhideWhenUsed/>
    <w:qFormat/>
    <w:uiPriority w:val="0"/>
    <w:pPr>
      <w:tabs>
        <w:tab w:val="center" w:pos="4153"/>
        <w:tab w:val="right" w:pos="8306"/>
      </w:tabs>
      <w:snapToGrid w:val="0"/>
      <w:jc w:val="left"/>
    </w:pPr>
    <w:rPr>
      <w:sz w:val="18"/>
      <w:szCs w:val="18"/>
    </w:rPr>
  </w:style>
  <w:style w:type="paragraph" w:styleId="7">
    <w:name w:val="header"/>
    <w:basedOn w:val="1"/>
    <w:link w:val="12"/>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0"/>
    <w:pPr>
      <w:widowControl/>
      <w:spacing w:before="100" w:beforeAutospacing="1" w:after="100" w:afterAutospacing="1"/>
      <w:jc w:val="left"/>
    </w:pPr>
    <w:rPr>
      <w:rFonts w:ascii="宋体" w:hAnsi="宋体" w:eastAsia="宋体" w:cs="宋体"/>
      <w:sz w:val="24"/>
      <w:szCs w:val="24"/>
    </w:rPr>
  </w:style>
  <w:style w:type="table" w:styleId="10">
    <w:name w:val="Table Grid"/>
    <w:basedOn w:val="9"/>
    <w:qFormat/>
    <w:uiPriority w:val="0"/>
    <w:pPr>
      <w:widowControl w:val="0"/>
      <w:ind w:firstLine="0" w:firstLineChars="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semiHidden/>
    <w:qFormat/>
    <w:uiPriority w:val="0"/>
    <w:rPr>
      <w:rFonts w:ascii="Times New Roman" w:hAnsi="Times New Roman" w:eastAsia="仿宋_GB2312" w:cs="Times New Roman"/>
      <w:kern w:val="0"/>
      <w:sz w:val="18"/>
      <w:szCs w:val="18"/>
    </w:rPr>
  </w:style>
  <w:style w:type="character" w:customStyle="1" w:styleId="13">
    <w:name w:val="页脚 Char"/>
    <w:basedOn w:val="11"/>
    <w:link w:val="6"/>
    <w:semiHidden/>
    <w:qFormat/>
    <w:uiPriority w:val="0"/>
    <w:rPr>
      <w:rFonts w:ascii="Times New Roman" w:hAnsi="Times New Roman" w:eastAsia="仿宋_GB2312" w:cs="Times New Roman"/>
      <w:kern w:val="0"/>
      <w:sz w:val="18"/>
      <w:szCs w:val="18"/>
    </w:rPr>
  </w:style>
  <w:style w:type="character" w:customStyle="1" w:styleId="14">
    <w:name w:val="正文文本 Char"/>
    <w:basedOn w:val="11"/>
    <w:link w:val="2"/>
    <w:semiHidden/>
    <w:qFormat/>
    <w:uiPriority w:val="0"/>
    <w:rPr>
      <w:rFonts w:ascii="Times New Roman" w:hAnsi="Times New Roman" w:eastAsia="宋体" w:cs="Times New Roman"/>
      <w:b/>
      <w:bCs/>
      <w:sz w:val="30"/>
      <w:szCs w:val="24"/>
    </w:rPr>
  </w:style>
  <w:style w:type="character" w:customStyle="1" w:styleId="15">
    <w:name w:val="日期 Char"/>
    <w:basedOn w:val="11"/>
    <w:link w:val="4"/>
    <w:semiHidden/>
    <w:qFormat/>
    <w:uiPriority w:val="0"/>
    <w:rPr>
      <w:rFonts w:ascii="Times New Roman" w:hAnsi="Times New Roman" w:eastAsia="宋体" w:cs="Times New Roman"/>
      <w:szCs w:val="24"/>
    </w:rPr>
  </w:style>
  <w:style w:type="character" w:customStyle="1" w:styleId="16">
    <w:name w:val="纯文本 Char"/>
    <w:basedOn w:val="11"/>
    <w:link w:val="3"/>
    <w:semiHidden/>
    <w:qFormat/>
    <w:uiPriority w:val="0"/>
    <w:rPr>
      <w:rFonts w:ascii="宋体" w:hAnsi="Courier New" w:eastAsia="宋体" w:cs="Courier New"/>
      <w:szCs w:val="21"/>
    </w:rPr>
  </w:style>
  <w:style w:type="character" w:customStyle="1" w:styleId="17">
    <w:name w:val="批注框文本 Char"/>
    <w:basedOn w:val="11"/>
    <w:link w:val="5"/>
    <w:semiHidden/>
    <w:qFormat/>
    <w:uiPriority w:val="0"/>
    <w:rPr>
      <w:rFonts w:ascii="Times New Roman" w:hAnsi="Times New Roman" w:eastAsia="仿宋_GB2312" w:cs="Times New Roman"/>
      <w:kern w:val="0"/>
      <w:sz w:val="18"/>
      <w:szCs w:val="18"/>
    </w:rPr>
  </w:style>
  <w:style w:type="paragraph" w:customStyle="1" w:styleId="18">
    <w:name w:val="Char"/>
    <w:basedOn w:val="1"/>
    <w:next w:val="1"/>
    <w:qFormat/>
    <w:uiPriority w:val="0"/>
    <w:pPr>
      <w:keepNext/>
      <w:keepLines/>
      <w:widowControl/>
      <w:adjustRightInd w:val="0"/>
      <w:spacing w:before="40" w:after="40" w:line="360" w:lineRule="auto"/>
      <w:ind w:firstLine="200" w:firstLineChars="200"/>
      <w:outlineLvl w:val="3"/>
    </w:pPr>
    <w:rPr>
      <w:rFonts w:cs="宋体"/>
      <w:b/>
      <w:sz w:val="24"/>
      <w:szCs w:val="28"/>
    </w:rPr>
  </w:style>
  <w:style w:type="paragraph" w:customStyle="1" w:styleId="19">
    <w:name w:val="默认段落字体 Para Char Char Char Char Char Char Char"/>
    <w:basedOn w:val="1"/>
    <w:qFormat/>
    <w:uiPriority w:val="0"/>
    <w:rPr>
      <w:rFonts w:eastAsia="宋体"/>
      <w:kern w:val="2"/>
      <w:sz w:val="21"/>
      <w:szCs w:val="20"/>
    </w:rPr>
  </w:style>
  <w:style w:type="character" w:customStyle="1" w:styleId="20">
    <w:name w:val="20"/>
    <w:basedOn w:val="11"/>
    <w:qFormat/>
    <w:uiPriority w:val="0"/>
    <w:rPr>
      <w:rFonts w:hint="default" w:ascii="Calibri" w:hAnsi="Calibri" w:cs="Calibri"/>
    </w:rPr>
  </w:style>
  <w:style w:type="paragraph" w:styleId="21">
    <w:name w:val="No Spacing"/>
    <w:qFormat/>
    <w:uiPriority w:val="1"/>
    <w:pPr>
      <w:widowControl w:val="0"/>
      <w:ind w:firstLine="0" w:firstLineChars="0"/>
      <w:jc w:val="both"/>
    </w:pPr>
    <w:rPr>
      <w:rFonts w:ascii="Times New Roman" w:hAnsi="Times New Roman" w:eastAsia="仿宋_GB2312" w:cs="Times New Roman"/>
      <w:kern w:val="0"/>
      <w:sz w:val="32"/>
      <w:szCs w:val="32"/>
      <w:lang w:val="en-US" w:eastAsia="zh-CN" w:bidi="ar-SA"/>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chart" Target="charts/chart9.xml"/><Relationship Id="rId23" Type="http://schemas.openxmlformats.org/officeDocument/2006/relationships/chart" Target="charts/chart8.xml"/><Relationship Id="rId22" Type="http://schemas.openxmlformats.org/officeDocument/2006/relationships/chart" Target="charts/chart7.xml"/><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编制比例图</a:t>
            </a:r>
            <a:endParaRPr lang="zh-CN" altLang="en-US"/>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explosion val="3"/>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行政编</c:v>
                </c:pt>
                <c:pt idx="1">
                  <c:v>事业编</c:v>
                </c:pt>
              </c:strCache>
            </c:strRef>
          </c:cat>
          <c:val>
            <c:numRef>
              <c:f>Sheet1!$B$2:$B$3</c:f>
              <c:numCache>
                <c:formatCode>General</c:formatCode>
                <c:ptCount val="2"/>
                <c:pt idx="0">
                  <c:v>10</c:v>
                </c:pt>
                <c:pt idx="1">
                  <c:v>48</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人员构成</a:t>
            </a:r>
            <a:endParaRPr lang="zh-CN" altLang="en-US"/>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行政人员</c:v>
                </c:pt>
                <c:pt idx="1">
                  <c:v>全额事业拨款人员</c:v>
                </c:pt>
                <c:pt idx="2">
                  <c:v>离退休人员</c:v>
                </c:pt>
              </c:strCache>
            </c:strRef>
          </c:cat>
          <c:val>
            <c:numRef>
              <c:f>Sheet1!$B$2:$B$4</c:f>
              <c:numCache>
                <c:formatCode>General</c:formatCode>
                <c:ptCount val="3"/>
                <c:pt idx="0">
                  <c:v>10</c:v>
                </c:pt>
                <c:pt idx="1">
                  <c:v>105</c:v>
                </c:pt>
                <c:pt idx="2">
                  <c:v>29</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invertIfNegative val="0"/>
          <c:dLbls>
            <c:delete val="1"/>
          </c:dLbls>
          <c:cat>
            <c:strRef>
              <c:f>Sheet1!$A$2:$A$3</c:f>
              <c:strCache>
                <c:ptCount val="2"/>
                <c:pt idx="0">
                  <c:v>2018年</c:v>
                </c:pt>
                <c:pt idx="1">
                  <c:v>2019年</c:v>
                </c:pt>
              </c:strCache>
            </c:strRef>
          </c:cat>
          <c:val>
            <c:numRef>
              <c:f>Sheet1!$B$2:$B$3</c:f>
              <c:numCache>
                <c:formatCode>General</c:formatCode>
                <c:ptCount val="2"/>
                <c:pt idx="0">
                  <c:v>14034.07</c:v>
                </c:pt>
                <c:pt idx="1">
                  <c:v>20112.07</c:v>
                </c:pt>
              </c:numCache>
            </c:numRef>
          </c:val>
        </c:ser>
        <c:dLbls>
          <c:showLegendKey val="0"/>
          <c:showVal val="0"/>
          <c:showCatName val="0"/>
          <c:showSerName val="0"/>
          <c:showPercent val="0"/>
          <c:showBubbleSize val="0"/>
        </c:dLbls>
        <c:gapWidth val="150"/>
        <c:axId val="429420592"/>
        <c:axId val="429421152"/>
      </c:barChart>
      <c:catAx>
        <c:axId val="42942059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9421152"/>
        <c:crosses val="autoZero"/>
        <c:auto val="1"/>
        <c:lblAlgn val="ctr"/>
        <c:lblOffset val="100"/>
        <c:noMultiLvlLbl val="0"/>
      </c:catAx>
      <c:valAx>
        <c:axId val="4294211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942059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支出</c:v>
                </c:pt>
              </c:strCache>
            </c:strRef>
          </c:tx>
          <c:invertIfNegative val="0"/>
          <c:dLbls>
            <c:delete val="1"/>
          </c:dLbls>
          <c:cat>
            <c:strRef>
              <c:f>Sheet1!$A$2:$A$3</c:f>
              <c:strCache>
                <c:ptCount val="2"/>
                <c:pt idx="0">
                  <c:v>2020年</c:v>
                </c:pt>
                <c:pt idx="1">
                  <c:v>2019年</c:v>
                </c:pt>
              </c:strCache>
            </c:strRef>
          </c:cat>
          <c:val>
            <c:numRef>
              <c:f>Sheet1!$B$2:$B$3</c:f>
              <c:numCache>
                <c:formatCode>General</c:formatCode>
                <c:ptCount val="2"/>
                <c:pt idx="0">
                  <c:v>23631.85</c:v>
                </c:pt>
                <c:pt idx="1">
                  <c:v>20112.07</c:v>
                </c:pt>
              </c:numCache>
            </c:numRef>
          </c:val>
        </c:ser>
        <c:dLbls>
          <c:showLegendKey val="0"/>
          <c:showVal val="0"/>
          <c:showCatName val="0"/>
          <c:showSerName val="0"/>
          <c:showPercent val="0"/>
          <c:showBubbleSize val="0"/>
        </c:dLbls>
        <c:gapWidth val="150"/>
        <c:axId val="429423392"/>
        <c:axId val="429423952"/>
      </c:barChart>
      <c:catAx>
        <c:axId val="42942339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9423952"/>
        <c:crosses val="autoZero"/>
        <c:auto val="1"/>
        <c:lblAlgn val="ctr"/>
        <c:lblOffset val="100"/>
        <c:noMultiLvlLbl val="0"/>
      </c:catAx>
      <c:valAx>
        <c:axId val="4294239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942339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a:t>
            </a:r>
            <a:endParaRPr lang="zh-CN" altLang="en-US"/>
          </a:p>
        </c:rich>
      </c:tx>
      <c:layout/>
      <c:overlay val="0"/>
    </c:title>
    <c:autoTitleDeleted val="0"/>
    <c:plotArea>
      <c:layout>
        <c:manualLayout>
          <c:layoutTarget val="inner"/>
          <c:xMode val="edge"/>
          <c:yMode val="edge"/>
          <c:x val="0.125634675275135"/>
          <c:y val="0.200134184794881"/>
          <c:w val="0.874365324724865"/>
          <c:h val="0.713847188536135"/>
        </c:manualLayout>
      </c:layout>
      <c:barChart>
        <c:barDir val="col"/>
        <c:grouping val="stacked"/>
        <c:varyColors val="0"/>
        <c:ser>
          <c:idx val="0"/>
          <c:order val="0"/>
          <c:tx>
            <c:strRef>
              <c:f>Sheet1!$B$1</c:f>
              <c:strCache>
                <c:ptCount val="1"/>
                <c:pt idx="0">
                  <c:v>2018年收入</c:v>
                </c:pt>
              </c:strCache>
            </c:strRef>
          </c:tx>
          <c:invertIfNegative val="0"/>
          <c:dLbls>
            <c:dLbl>
              <c:idx val="1"/>
              <c:layout>
                <c:manualLayout>
                  <c:x val="0"/>
                  <c:y val="-0.074266810175527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74266810175527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3"/>
                <c:pt idx="0">
                  <c:v>财政拨款收入</c:v>
                </c:pt>
                <c:pt idx="1">
                  <c:v>事业收入</c:v>
                </c:pt>
                <c:pt idx="2">
                  <c:v>其他收入</c:v>
                </c:pt>
              </c:strCache>
            </c:strRef>
          </c:cat>
          <c:val>
            <c:numRef>
              <c:f>Sheet1!$B$2:$B$5</c:f>
              <c:numCache>
                <c:formatCode>General</c:formatCode>
                <c:ptCount val="4"/>
                <c:pt idx="0">
                  <c:v>24796.84</c:v>
                </c:pt>
                <c:pt idx="1">
                  <c:v>0</c:v>
                </c:pt>
                <c:pt idx="2">
                  <c:v>0</c:v>
                </c:pt>
              </c:numCache>
            </c:numRef>
          </c:val>
        </c:ser>
        <c:ser>
          <c:idx val="1"/>
          <c:order val="1"/>
          <c:tx>
            <c:strRef>
              <c:f>Sheet1!$C$1</c:f>
              <c:strCache>
                <c:ptCount val="1"/>
                <c:pt idx="0">
                  <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3"/>
                <c:pt idx="0">
                  <c:v>财政拨款收入</c:v>
                </c:pt>
                <c:pt idx="1">
                  <c:v>事业收入</c:v>
                </c:pt>
                <c:pt idx="2">
                  <c:v>其他收入</c:v>
                </c:pt>
              </c:strCache>
            </c:strRef>
          </c:cat>
          <c:val>
            <c:numRef>
              <c:f>Sheet1!$C$2:$C$5</c:f>
              <c:numCache>
                <c:formatCode>General</c:formatCode>
                <c:ptCount val="4"/>
              </c:numCache>
            </c:numRef>
          </c:val>
        </c:ser>
        <c:dLbls>
          <c:showLegendKey val="0"/>
          <c:showVal val="0"/>
          <c:showCatName val="0"/>
          <c:showSerName val="0"/>
          <c:showPercent val="0"/>
          <c:showBubbleSize val="0"/>
        </c:dLbls>
        <c:gapWidth val="233"/>
        <c:overlap val="100"/>
        <c:axId val="261477504"/>
        <c:axId val="258190672"/>
      </c:barChart>
      <c:catAx>
        <c:axId val="26147750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8190672"/>
        <c:crosses val="autoZero"/>
        <c:auto val="1"/>
        <c:lblAlgn val="ctr"/>
        <c:lblOffset val="100"/>
        <c:noMultiLvlLbl val="0"/>
      </c:catAx>
      <c:valAx>
        <c:axId val="258190672"/>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1477504"/>
        <c:crosses val="autoZero"/>
        <c:crossBetween val="between"/>
      </c:valAx>
      <c:spPr>
        <a:noFill/>
        <a:ln w="25400">
          <a:noFill/>
        </a:ln>
      </c:spPr>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a:t>
            </a:r>
            <a:endParaRPr lang="zh-CN" altLang="en-US"/>
          </a:p>
        </c:rich>
      </c:tx>
      <c:layout/>
      <c:overlay val="0"/>
    </c:title>
    <c:autoTitleDeleted val="0"/>
    <c:plotArea>
      <c:layout/>
      <c:barChart>
        <c:barDir val="col"/>
        <c:grouping val="stacked"/>
        <c:varyColors val="0"/>
        <c:ser>
          <c:idx val="0"/>
          <c:order val="0"/>
          <c:tx>
            <c:strRef>
              <c:f>Sheet1!$B$1</c:f>
              <c:strCache>
                <c:ptCount val="1"/>
                <c:pt idx="0">
                  <c:v>2018年收入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基本支出</c:v>
                </c:pt>
                <c:pt idx="1">
                  <c:v>项目支出</c:v>
                </c:pt>
              </c:strCache>
            </c:strRef>
          </c:cat>
          <c:val>
            <c:numRef>
              <c:f>Sheet1!$B$2:$B$5</c:f>
              <c:numCache>
                <c:formatCode>General</c:formatCode>
                <c:ptCount val="4"/>
                <c:pt idx="0">
                  <c:v>1270.05</c:v>
                </c:pt>
                <c:pt idx="1">
                  <c:v>22361.49</c:v>
                </c:pt>
              </c:numCache>
            </c:numRef>
          </c:val>
        </c:ser>
        <c:ser>
          <c:idx val="1"/>
          <c:order val="1"/>
          <c:tx>
            <c:strRef>
              <c:f>Sheet1!$C$1</c:f>
              <c:strCache>
                <c:ptCount val="1"/>
                <c:pt idx="0">
                  <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基本支出</c:v>
                </c:pt>
                <c:pt idx="1">
                  <c:v>项目支出</c:v>
                </c:pt>
              </c:strCache>
            </c:strRef>
          </c:cat>
          <c:val>
            <c:numRef>
              <c:f>Sheet1!$C$2:$C$5</c:f>
              <c:numCache>
                <c:formatCode>General</c:formatCode>
                <c:ptCount val="4"/>
              </c:numCache>
            </c:numRef>
          </c:val>
        </c:ser>
        <c:dLbls>
          <c:showLegendKey val="0"/>
          <c:showVal val="0"/>
          <c:showCatName val="0"/>
          <c:showSerName val="0"/>
          <c:showPercent val="0"/>
          <c:showBubbleSize val="0"/>
        </c:dLbls>
        <c:gapWidth val="233"/>
        <c:overlap val="100"/>
        <c:axId val="335168816"/>
        <c:axId val="431533888"/>
      </c:barChart>
      <c:catAx>
        <c:axId val="33516881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1533888"/>
        <c:crosses val="autoZero"/>
        <c:auto val="1"/>
        <c:lblAlgn val="ctr"/>
        <c:lblOffset val="100"/>
        <c:noMultiLvlLbl val="0"/>
      </c:catAx>
      <c:valAx>
        <c:axId val="431533888"/>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35168816"/>
        <c:crosses val="autoZero"/>
        <c:crossBetween val="between"/>
      </c:valAx>
      <c:spPr>
        <a:noFill/>
        <a:ln w="25400">
          <a:noFill/>
        </a:ln>
      </c:spPr>
    </c:plotArea>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收入与支出</c:v>
                </c:pt>
              </c:strCache>
            </c:strRef>
          </c:tx>
          <c:invertIfNegative val="0"/>
          <c:dLbls>
            <c:delete val="1"/>
          </c:dLbls>
          <c:cat>
            <c:strRef>
              <c:f>Sheet1!$A$2:$A$5</c:f>
              <c:strCache>
                <c:ptCount val="4"/>
                <c:pt idx="0">
                  <c:v>2019年收入</c:v>
                </c:pt>
                <c:pt idx="1">
                  <c:v>2020年收入</c:v>
                </c:pt>
                <c:pt idx="2">
                  <c:v>2019年支出</c:v>
                </c:pt>
                <c:pt idx="3">
                  <c:v>2020年支出</c:v>
                </c:pt>
              </c:strCache>
            </c:strRef>
          </c:cat>
          <c:val>
            <c:numRef>
              <c:f>Sheet1!$B$2:$B$5</c:f>
              <c:numCache>
                <c:formatCode>General</c:formatCode>
                <c:ptCount val="4"/>
                <c:pt idx="0">
                  <c:v>20112.07</c:v>
                </c:pt>
                <c:pt idx="1">
                  <c:v>24796.84</c:v>
                </c:pt>
                <c:pt idx="2">
                  <c:v>20110.26</c:v>
                </c:pt>
                <c:pt idx="3">
                  <c:v>23631.54</c:v>
                </c:pt>
              </c:numCache>
            </c:numRef>
          </c:val>
        </c:ser>
        <c:dLbls>
          <c:showLegendKey val="0"/>
          <c:showVal val="0"/>
          <c:showCatName val="0"/>
          <c:showSerName val="0"/>
          <c:showPercent val="0"/>
          <c:showBubbleSize val="0"/>
        </c:dLbls>
        <c:gapWidth val="150"/>
        <c:axId val="431536128"/>
        <c:axId val="431536688"/>
      </c:barChart>
      <c:catAx>
        <c:axId val="43153612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1536688"/>
        <c:crosses val="autoZero"/>
        <c:auto val="1"/>
        <c:lblAlgn val="ctr"/>
        <c:lblOffset val="100"/>
        <c:noMultiLvlLbl val="0"/>
      </c:catAx>
      <c:valAx>
        <c:axId val="4315366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15361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支出决算</a:t>
            </a:r>
            <a:endParaRPr lang="zh-CN" altLang="en-US"/>
          </a:p>
        </c:rich>
      </c:tx>
      <c:layout/>
      <c:overlay val="0"/>
    </c:title>
    <c:autoTitleDeleted val="0"/>
    <c:plotArea>
      <c:layout/>
      <c:barChart>
        <c:barDir val="col"/>
        <c:grouping val="clustered"/>
        <c:varyColors val="0"/>
        <c:ser>
          <c:idx val="0"/>
          <c:order val="0"/>
          <c:tx>
            <c:strRef>
              <c:f>Sheet1!$B$1</c:f>
              <c:strCache>
                <c:ptCount val="1"/>
                <c:pt idx="0">
                  <c:v>支出</c:v>
                </c:pt>
              </c:strCache>
            </c:strRef>
          </c:tx>
          <c:invertIfNegative val="0"/>
          <c:dLbls>
            <c:delete val="1"/>
          </c:dLbls>
          <c:cat>
            <c:strRef>
              <c:f>Sheet1!$A$2:$A$5</c:f>
              <c:strCache>
                <c:ptCount val="2"/>
                <c:pt idx="0">
                  <c:v>2019年</c:v>
                </c:pt>
                <c:pt idx="1">
                  <c:v>2020年</c:v>
                </c:pt>
              </c:strCache>
            </c:strRef>
          </c:cat>
          <c:val>
            <c:numRef>
              <c:f>Sheet1!$B$2:$B$5</c:f>
              <c:numCache>
                <c:formatCode>General</c:formatCode>
                <c:ptCount val="4"/>
                <c:pt idx="0">
                  <c:v>20110.26</c:v>
                </c:pt>
                <c:pt idx="1">
                  <c:v>18204.86</c:v>
                </c:pt>
              </c:numCache>
            </c:numRef>
          </c:val>
        </c:ser>
        <c:dLbls>
          <c:showLegendKey val="0"/>
          <c:showVal val="0"/>
          <c:showCatName val="0"/>
          <c:showSerName val="0"/>
          <c:showPercent val="0"/>
          <c:showBubbleSize val="0"/>
        </c:dLbls>
        <c:gapWidth val="150"/>
        <c:axId val="431538928"/>
        <c:axId val="431539488"/>
      </c:barChart>
      <c:catAx>
        <c:axId val="43153892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1539488"/>
        <c:crosses val="autoZero"/>
        <c:auto val="1"/>
        <c:lblAlgn val="ctr"/>
        <c:lblOffset val="100"/>
        <c:noMultiLvlLbl val="0"/>
      </c:catAx>
      <c:valAx>
        <c:axId val="4315394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15389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金额（万元）</c:v>
                </c:pt>
              </c:strCache>
            </c:strRef>
          </c:tx>
          <c:explosion val="0"/>
          <c:dPt>
            <c:idx val="0"/>
            <c:bubble3D val="0"/>
          </c:dPt>
          <c:dPt>
            <c:idx val="1"/>
            <c:bubble3D val="0"/>
          </c:dPt>
          <c:dLbls>
            <c:delete val="1"/>
          </c:dLbls>
          <c:cat>
            <c:strRef>
              <c:f>Sheet1!$A$2:$A$3</c:f>
              <c:strCache>
                <c:ptCount val="2"/>
                <c:pt idx="0">
                  <c:v>公务用车运行费</c:v>
                </c:pt>
                <c:pt idx="1">
                  <c:v>公务接待费</c:v>
                </c:pt>
              </c:strCache>
            </c:strRef>
          </c:cat>
          <c:val>
            <c:numRef>
              <c:f>Sheet1!$B$2:$B$3</c:f>
              <c:numCache>
                <c:formatCode>General</c:formatCode>
                <c:ptCount val="2"/>
                <c:pt idx="0">
                  <c:v>2</c:v>
                </c:pt>
                <c:pt idx="1">
                  <c:v>0.116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EF2F4-689F-4F71-81FE-A7CFD37841C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3560</Words>
  <Characters>20294</Characters>
  <Lines>169</Lines>
  <Paragraphs>47</Paragraphs>
  <TotalTime>0</TotalTime>
  <ScaleCrop>false</ScaleCrop>
  <LinksUpToDate>false</LinksUpToDate>
  <CharactersWithSpaces>23807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2021-09-09T08:55:00Z</dcterms:created>
  <dc:creator>江瑞</dc:creator>
  <cp:lastModifiedBy>九步皆爱</cp:lastModifiedBy>
  <cp:lastPrinted>2021-09-15T03:30:00Z</cp:lastPrinted>
  <dcterms:modified xsi:type="dcterms:W3CDTF">2021-09-26T02:18:59Z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