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70"/>
          <w:szCs w:val="7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70"/>
          <w:szCs w:val="70"/>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70"/>
          <w:szCs w:val="70"/>
        </w:rPr>
      </w:pPr>
      <w:r>
        <w:rPr>
          <w:rFonts w:hint="eastAsia" w:ascii="方正小标宋简体" w:hAnsi="方正小标宋简体" w:eastAsia="方正小标宋简体" w:cs="方正小标宋简体"/>
          <w:sz w:val="70"/>
          <w:szCs w:val="70"/>
        </w:rPr>
        <w:t>镇安县招商服务中心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sz w:val="70"/>
          <w:szCs w:val="70"/>
        </w:rPr>
      </w:pPr>
      <w:r>
        <w:rPr>
          <w:rFonts w:hint="eastAsia" w:ascii="方正小标宋简体" w:hAnsi="方正小标宋简体" w:eastAsia="方正小标宋简体" w:cs="方正小标宋简体"/>
          <w:sz w:val="70"/>
          <w:szCs w:val="70"/>
        </w:rPr>
        <w:t>2020年部门决算</w:t>
      </w:r>
    </w:p>
    <w:p/>
    <w:p/>
    <w:p/>
    <w:p/>
    <w:p/>
    <w:p/>
    <w:p/>
    <w:p/>
    <w:p/>
    <w:p>
      <w:pPr>
        <w:jc w:val="left"/>
      </w:pPr>
    </w:p>
    <w:p>
      <w:pPr>
        <w:jc w:val="left"/>
      </w:pPr>
    </w:p>
    <w:p>
      <w:pPr>
        <w:ind w:firstLine="2212" w:firstLineChars="700"/>
        <w:jc w:val="left"/>
        <w:rPr>
          <w:rFonts w:hint="eastAsia" w:ascii="黑体" w:hAnsi="黑体" w:eastAsia="黑体" w:cs="黑体"/>
        </w:rPr>
      </w:pPr>
      <w:r>
        <w:rPr>
          <w:rFonts w:hint="eastAsia" w:ascii="黑体" w:hAnsi="黑体" w:eastAsia="黑体" w:cs="黑体"/>
        </w:rPr>
        <w:t>保密审查情况：已审查</w:t>
      </w:r>
    </w:p>
    <w:p>
      <w:pPr>
        <w:ind w:left="3470" w:leftChars="700" w:hanging="1258" w:hangingChars="398"/>
        <w:rPr>
          <w:rFonts w:hint="eastAsia" w:ascii="黑体" w:hAnsi="黑体" w:eastAsia="黑体" w:cs="黑体"/>
        </w:rPr>
      </w:pPr>
      <w:r>
        <w:rPr>
          <w:rFonts w:hint="eastAsia" w:ascii="黑体" w:hAnsi="黑体" w:eastAsia="黑体" w:cs="黑体"/>
        </w:rPr>
        <w:t>部门负责人审签情况：已审签</w:t>
      </w:r>
    </w:p>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br w:type="page"/>
      </w:r>
    </w:p>
    <w:p>
      <w:pPr>
        <w:ind w:left="4668" w:leftChars="100" w:hanging="4352" w:hangingChars="998"/>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第一部分  部门概况</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一、部门主要职责及内设机构</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二、部门决算单位构成</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三、部门人员情况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第二部分  2020年部</w:t>
      </w:r>
      <w:r>
        <w:rPr>
          <w:rFonts w:hint="eastAsia" w:ascii="宋体" w:hAnsi="宋体" w:cs="宋体"/>
          <w:sz w:val="32"/>
          <w:szCs w:val="32"/>
        </w:rPr>
        <w:t>门</w:t>
      </w:r>
      <w:r>
        <w:rPr>
          <w:rFonts w:hint="eastAsia" w:ascii="黑体" w:hAnsi="黑体" w:eastAsia="黑体" w:cs="黑体"/>
          <w:sz w:val="32"/>
          <w:szCs w:val="32"/>
        </w:rPr>
        <w:t>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九、政府国有资本经营</w:t>
      </w:r>
      <w:r>
        <w:rPr>
          <w:rFonts w:ascii="仿宋_GB2312" w:hAnsi="仿宋_GB2312" w:eastAsia="仿宋_GB2312" w:cs="仿宋_GB2312"/>
          <w:sz w:val="32"/>
          <w:szCs w:val="32"/>
        </w:rPr>
        <w:t>财政拨款支出决算表</w:t>
      </w:r>
    </w:p>
    <w:p>
      <w:pPr>
        <w:keepNext w:val="0"/>
        <w:keepLines w:val="0"/>
        <w:pageBreakBefore w:val="0"/>
        <w:widowControl w:val="0"/>
        <w:kinsoku/>
        <w:wordWrap/>
        <w:overflowPunct/>
        <w:topLinePunct w:val="0"/>
        <w:autoSpaceDE/>
        <w:autoSpaceDN/>
        <w:bidi w:val="0"/>
        <w:adjustRightInd/>
        <w:snapToGrid/>
        <w:spacing w:before="156" w:beforeLines="50" w:after="156" w:afterLines="50" w:line="540" w:lineRule="exact"/>
        <w:jc w:val="center"/>
        <w:textAlignment w:val="auto"/>
        <w:rPr>
          <w:rFonts w:ascii="黑体" w:hAnsi="黑体" w:eastAsia="黑体" w:cs="黑体"/>
          <w:sz w:val="32"/>
          <w:szCs w:val="32"/>
        </w:rPr>
      </w:pPr>
      <w:r>
        <w:rPr>
          <w:rFonts w:hint="eastAsia" w:ascii="黑体" w:hAnsi="黑体" w:eastAsia="黑体" w:cs="黑体"/>
          <w:sz w:val="32"/>
          <w:szCs w:val="32"/>
        </w:rPr>
        <w:t>第三部分  2020年部门决算情况说明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z w:val="32"/>
          <w:szCs w:val="32"/>
        </w:rPr>
        <w:t>（一）“三公”</w:t>
      </w:r>
      <w:r>
        <w:rPr>
          <w:rFonts w:hint="eastAsia" w:ascii="仿宋_GB2312" w:hAnsi="仿宋_GB2312" w:eastAsia="仿宋_GB2312" w:cs="仿宋_GB2312"/>
          <w:spacing w:val="-6"/>
          <w:sz w:val="32"/>
          <w:szCs w:val="32"/>
        </w:rPr>
        <w:t>经</w:t>
      </w:r>
      <w:r>
        <w:rPr>
          <w:rFonts w:hint="eastAsia" w:ascii="仿宋_GB2312" w:hAnsi="仿宋_GB2312" w:eastAsia="仿宋_GB2312" w:cs="仿宋_GB2312"/>
          <w:spacing w:val="-8"/>
          <w:sz w:val="32"/>
          <w:szCs w:val="32"/>
        </w:rPr>
        <w:t>费财政拨款支出决算总体情况说明</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hint="eastAsia"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二</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_GB2312" w:hAnsi="仿宋_GB2312" w:eastAsia="仿宋_GB2312" w:cs="仿宋_GB2312"/>
          <w:spacing w:val="-8"/>
          <w:sz w:val="32"/>
          <w:szCs w:val="32"/>
        </w:rPr>
      </w:pP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三</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rPr>
        <w:t>培训费支出情况说明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（二）政府采购支出情况说明</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黑体"/>
          <w:sz w:val="32"/>
          <w:szCs w:val="32"/>
        </w:rPr>
      </w:pPr>
      <w:r>
        <w:rPr>
          <w:rFonts w:hint="eastAsia" w:ascii="黑体" w:hAnsi="黑体" w:eastAsia="黑体" w:cs="黑体"/>
          <w:sz w:val="32"/>
          <w:szCs w:val="32"/>
        </w:rPr>
        <w:t>第四部分  专业名词解释</w:t>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第一部分  部门概况</w:t>
      </w:r>
    </w:p>
    <w:p>
      <w:pPr>
        <w:spacing w:line="4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一、部门主要职责及内设机构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rPr>
      </w:pPr>
      <w:r>
        <w:rPr>
          <w:rFonts w:hint="eastAsia" w:ascii="华文楷体" w:hAnsi="华文楷体" w:eastAsia="华文楷体" w:cs="楷体_GB2312"/>
          <w:bCs/>
        </w:rPr>
        <w:t>（一）主要职责</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Verdana" w:cs="仿宋"/>
        </w:rPr>
      </w:pPr>
      <w:r>
        <w:rPr>
          <w:rFonts w:hint="eastAsia" w:ascii="仿宋_GB2312" w:hAnsi="Verdana"/>
        </w:rPr>
        <w:t>1</w:t>
      </w:r>
      <w:r>
        <w:rPr>
          <w:rFonts w:hint="eastAsia" w:ascii="仿宋_GB2312" w:hAnsi="仿宋" w:cs="仿宋"/>
        </w:rPr>
        <w:t>、制定实施招商引资相关政策及发展规划；</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Verdana" w:cs="仿宋"/>
        </w:rPr>
      </w:pPr>
      <w:r>
        <w:rPr>
          <w:rFonts w:hint="eastAsia" w:ascii="仿宋_GB2312" w:hAnsi="Verdana" w:cs="仿宋"/>
        </w:rPr>
        <w:t>2</w:t>
      </w:r>
      <w:r>
        <w:rPr>
          <w:rFonts w:hint="eastAsia" w:ascii="仿宋_GB2312" w:hAnsi="仿宋" w:cs="仿宋"/>
        </w:rPr>
        <w:t>、负责招商项目策划、包装、储备及推介；</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Verdana" w:cs="仿宋"/>
        </w:rPr>
      </w:pPr>
      <w:r>
        <w:rPr>
          <w:rFonts w:hint="eastAsia" w:ascii="仿宋_GB2312" w:hAnsi="Verdana" w:cs="仿宋"/>
        </w:rPr>
        <w:t>3</w:t>
      </w:r>
      <w:r>
        <w:rPr>
          <w:rFonts w:hint="eastAsia" w:ascii="仿宋_GB2312" w:hAnsi="仿宋" w:cs="仿宋"/>
        </w:rPr>
        <w:t>、组织招商洽谈、项目签约和履约；</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Verdana" w:cs="仿宋"/>
        </w:rPr>
      </w:pPr>
      <w:r>
        <w:rPr>
          <w:rFonts w:hint="eastAsia" w:ascii="仿宋_GB2312" w:hAnsi="Verdana" w:cs="仿宋"/>
        </w:rPr>
        <w:t>4</w:t>
      </w:r>
      <w:r>
        <w:rPr>
          <w:rFonts w:hint="eastAsia" w:ascii="仿宋_GB2312" w:hAnsi="仿宋" w:cs="仿宋"/>
        </w:rPr>
        <w:t>、负责招商工作考核及评价；</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Verdana" w:cs="仿宋"/>
        </w:rPr>
      </w:pPr>
      <w:r>
        <w:rPr>
          <w:rFonts w:hint="eastAsia" w:ascii="仿宋_GB2312" w:hAnsi="Verdana" w:cs="仿宋"/>
        </w:rPr>
        <w:t>5</w:t>
      </w:r>
      <w:r>
        <w:rPr>
          <w:rFonts w:hint="eastAsia" w:ascii="仿宋_GB2312" w:hAnsi="仿宋" w:cs="仿宋"/>
        </w:rPr>
        <w:t>、建立客商资源信息库；</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Verdana" w:cs="仿宋"/>
        </w:rPr>
      </w:pPr>
      <w:r>
        <w:rPr>
          <w:rFonts w:hint="eastAsia" w:ascii="仿宋_GB2312" w:hAnsi="Verdana" w:cs="仿宋"/>
        </w:rPr>
        <w:t>6</w:t>
      </w:r>
      <w:r>
        <w:rPr>
          <w:rFonts w:hint="eastAsia" w:ascii="仿宋_GB2312" w:hAnsi="仿宋" w:cs="仿宋"/>
        </w:rPr>
        <w:t>、优化投资环境，做好服务保障。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rPr>
      </w:pPr>
      <w:r>
        <w:rPr>
          <w:rFonts w:hint="eastAsia" w:ascii="华文楷体" w:hAnsi="华文楷体" w:eastAsia="华文楷体" w:cs="楷体_GB2312"/>
          <w:bCs/>
        </w:rPr>
        <w:t>（二）内设机构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rPr>
      </w:pPr>
      <w:r>
        <w:rPr>
          <w:rFonts w:hint="eastAsia" w:ascii="仿宋_GB2312" w:hAnsi="仿宋_GB2312" w:cs="仿宋_GB2312"/>
        </w:rPr>
        <w:t>根据上述职责</w:t>
      </w:r>
      <w:r>
        <w:rPr>
          <w:rFonts w:hint="eastAsia" w:ascii="仿宋_GB2312" w:hAnsi="仿宋" w:cs="仿宋"/>
        </w:rPr>
        <w:t>，2020年内设</w:t>
      </w:r>
      <w:r>
        <w:rPr>
          <w:rFonts w:hint="eastAsia" w:ascii="仿宋_GB2312" w:hAnsi="Verdana" w:cs="仿宋"/>
        </w:rPr>
        <w:t>3</w:t>
      </w:r>
      <w:r>
        <w:rPr>
          <w:rFonts w:hint="eastAsia" w:ascii="仿宋_GB2312" w:hAnsi="仿宋" w:cs="仿宋"/>
        </w:rPr>
        <w:t>个内设机构：办公室、项目管理股、协调服务股。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二、部门决算单位构成</w:t>
      </w:r>
    </w:p>
    <w:p>
      <w:pPr>
        <w:keepNext w:val="0"/>
        <w:keepLines w:val="0"/>
        <w:pageBreakBefore w:val="0"/>
        <w:widowControl w:val="0"/>
        <w:kinsoku/>
        <w:wordWrap/>
        <w:overflowPunct/>
        <w:topLinePunct w:val="0"/>
        <w:autoSpaceDE/>
        <w:autoSpaceDN/>
        <w:bidi w:val="0"/>
        <w:adjustRightInd/>
        <w:snapToGrid/>
        <w:spacing w:line="560" w:lineRule="exact"/>
        <w:ind w:left="-3" w:leftChars="-1" w:firstLine="632" w:firstLineChars="200"/>
        <w:textAlignment w:val="auto"/>
        <w:rPr>
          <w:rFonts w:ascii="仿宋_GB2312" w:hAnsi="仿宋_GB2312" w:cs="仿宋_GB2312"/>
        </w:rPr>
      </w:pPr>
      <w:r>
        <w:rPr>
          <w:rFonts w:hint="eastAsia" w:ascii="仿宋_GB2312" w:hAnsi="仿宋_GB2312" w:cs="仿宋_GB2312"/>
        </w:rPr>
        <w:t>纳入2020年本部门决算编制范围的单位共1个,包括本级所属0个二级预算单位：</w:t>
      </w:r>
    </w:p>
    <w:tbl>
      <w:tblPr>
        <w:tblStyle w:val="9"/>
        <w:tblW w:w="7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5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28"/>
                <w:szCs w:val="28"/>
              </w:rPr>
            </w:pPr>
            <w:r>
              <w:rPr>
                <w:rFonts w:hint="eastAsia" w:ascii="黑体" w:hAnsi="黑体" w:eastAsia="黑体" w:cs="黑体"/>
                <w:sz w:val="28"/>
                <w:szCs w:val="28"/>
              </w:rPr>
              <w:t>序号</w:t>
            </w:r>
          </w:p>
        </w:tc>
        <w:tc>
          <w:tcPr>
            <w:tcW w:w="5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cs="黑体"/>
                <w:sz w:val="28"/>
                <w:szCs w:val="28"/>
              </w:rPr>
            </w:pPr>
            <w:r>
              <w:rPr>
                <w:rFonts w:hint="eastAsia" w:ascii="黑体" w:hAnsi="黑体" w:eastAsia="黑体" w:cs="黑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cs="仿宋_GB2312"/>
                <w:sz w:val="28"/>
                <w:szCs w:val="28"/>
              </w:rPr>
            </w:pPr>
            <w:r>
              <w:rPr>
                <w:rFonts w:hint="eastAsia" w:ascii="仿宋_GB2312" w:hAnsi="仿宋_GB2312" w:cs="仿宋_GB2312"/>
                <w:sz w:val="28"/>
                <w:szCs w:val="28"/>
              </w:rPr>
              <w:t>1</w:t>
            </w:r>
          </w:p>
        </w:tc>
        <w:tc>
          <w:tcPr>
            <w:tcW w:w="5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cs="仿宋_GB2312"/>
                <w:sz w:val="28"/>
                <w:szCs w:val="28"/>
              </w:rPr>
            </w:pPr>
            <w:r>
              <w:rPr>
                <w:rFonts w:hint="eastAsia" w:ascii="仿宋_GB2312" w:hAnsi="仿宋_GB2312" w:cs="仿宋_GB2312"/>
                <w:sz w:val="28"/>
                <w:szCs w:val="28"/>
              </w:rPr>
              <w:t>镇安县招商服务中心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cs="仿宋_GB2312"/>
                <w:sz w:val="28"/>
                <w:szCs w:val="28"/>
              </w:rPr>
            </w:pPr>
            <w:r>
              <w:rPr>
                <w:rFonts w:hint="eastAsia" w:ascii="仿宋_GB2312" w:hAnsi="仿宋_GB2312" w:cs="仿宋_GB2312"/>
                <w:sz w:val="28"/>
                <w:szCs w:val="28"/>
              </w:rPr>
              <w:t>2</w:t>
            </w:r>
          </w:p>
        </w:tc>
        <w:tc>
          <w:tcPr>
            <w:tcW w:w="5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4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cs="仿宋_GB2312"/>
                <w:sz w:val="28"/>
                <w:szCs w:val="28"/>
              </w:rPr>
            </w:pPr>
            <w:r>
              <w:rPr>
                <w:rFonts w:hint="eastAsia" w:ascii="仿宋_GB2312" w:hAnsi="仿宋_GB2312" w:cs="仿宋_GB2312"/>
                <w:sz w:val="28"/>
                <w:szCs w:val="28"/>
              </w:rPr>
              <w:t>3</w:t>
            </w:r>
          </w:p>
        </w:tc>
        <w:tc>
          <w:tcPr>
            <w:tcW w:w="55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cs="仿宋_GB2312"/>
                <w:sz w:val="28"/>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rPr>
      </w:pPr>
      <w:r>
        <w:rPr>
          <w:rFonts w:hint="eastAsia" w:ascii="黑体" w:hAnsi="黑体" w:eastAsia="黑体" w:cs="黑体"/>
        </w:rPr>
        <w:t>三、部门人员情况</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ascii="仿宋_GB2312" w:hAnsi="仿宋" w:cs="仿宋"/>
        </w:rPr>
      </w:pPr>
      <w:r>
        <w:rPr>
          <w:rFonts w:hint="eastAsia" w:ascii="仿宋_GB2312" w:hAnsi="仿宋_GB2312" w:cs="仿宋_GB2312"/>
        </w:rPr>
        <w:t>截止2020年底，本部门人员编制10人，其中行政编制0人、事业编制10人；实有人员9人，其中行政0人、事业9人。</w:t>
      </w:r>
      <w:r>
        <w:rPr>
          <w:rFonts w:hint="eastAsia" w:ascii="仿宋_GB2312" w:hAnsi="仿宋" w:cs="仿宋"/>
        </w:rPr>
        <w:t>工勤人员1人，政府购买公益岗位2人。单位管理的离退休人员1人,其中：离休人员0人。</w:t>
      </w:r>
    </w:p>
    <w:p>
      <w:pPr>
        <w:rPr>
          <w:rFonts w:ascii="仿宋" w:hAnsi="仿宋" w:eastAsia="仿宋" w:cs="仿宋"/>
        </w:rPr>
      </w:pPr>
      <w:r>
        <w:rPr>
          <w:rFonts w:ascii="仿宋" w:hAnsi="仿宋" w:eastAsia="仿宋" w:cs="仿宋"/>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br w:type="page"/>
      </w:r>
    </w:p>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第二部分  2020年度部门决算表</w:t>
      </w:r>
    </w:p>
    <w:p>
      <w:pPr>
        <w:spacing w:line="240" w:lineRule="exact"/>
        <w:jc w:val="center"/>
        <w:rPr>
          <w:rFonts w:ascii="方正小标宋简体" w:hAnsi="方正小标宋简体" w:eastAsia="方正小标宋简体" w:cs="方正小标宋简体"/>
          <w:sz w:val="40"/>
          <w:szCs w:val="40"/>
        </w:rPr>
      </w:pPr>
    </w:p>
    <w:tbl>
      <w:tblPr>
        <w:tblStyle w:val="9"/>
        <w:tblW w:w="901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4189"/>
        <w:gridCol w:w="144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序号</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内容</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是否空表</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表格为空的理由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表1</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表2</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收入决算表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表3</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表4</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财政拨款收入支出决算总表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表5</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一般公共预算财政拨款支出决算表（按功能分类科目）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表6</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一般公共预算财政拨款基本支出决算表（按经济分类科目）</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表7</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一般公共预算财政拨款“三公”经费及会议费、培训费支出决算表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否</w:t>
            </w:r>
          </w:p>
        </w:tc>
        <w:tc>
          <w:tcPr>
            <w:tcW w:w="22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表8</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政府性基金预算财政拨款收入支出决算表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2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本单位无政府性基金预算财政拨款收入。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1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表9</w:t>
            </w:r>
          </w:p>
        </w:tc>
        <w:tc>
          <w:tcPr>
            <w:tcW w:w="41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国有资本经营预算财政拨款支出决算表</w:t>
            </w:r>
          </w:p>
        </w:tc>
        <w:tc>
          <w:tcPr>
            <w:tcW w:w="14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4"/>
                <w:szCs w:val="24"/>
              </w:rPr>
            </w:pPr>
            <w:r>
              <w:rPr>
                <w:rFonts w:hint="eastAsia" w:ascii="宋体" w:hAnsi="宋体" w:eastAsia="宋体" w:cs="宋体"/>
                <w:sz w:val="24"/>
                <w:szCs w:val="24"/>
              </w:rPr>
              <w:t>是</w:t>
            </w:r>
          </w:p>
        </w:tc>
        <w:tc>
          <w:tcPr>
            <w:tcW w:w="2281"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24"/>
                <w:szCs w:val="24"/>
              </w:rPr>
            </w:pPr>
            <w:r>
              <w:rPr>
                <w:rFonts w:hint="eastAsia" w:ascii="宋体" w:hAnsi="宋体" w:eastAsia="宋体" w:cs="宋体"/>
                <w:sz w:val="24"/>
                <w:szCs w:val="24"/>
              </w:rPr>
              <w:t>本单位无政府国有资本经营财政拨款收入。</w:t>
            </w:r>
          </w:p>
        </w:tc>
      </w:tr>
    </w:tbl>
    <w:p>
      <w:pPr>
        <w:jc w:val="center"/>
        <w:rPr>
          <w:rFonts w:ascii="仿宋_GB2312" w:hAnsi="仿宋_GB2312" w:cs="仿宋_GB2312"/>
        </w:rPr>
      </w:pPr>
    </w:p>
    <w:p>
      <w:pPr>
        <w:jc w:val="center"/>
        <w:rPr>
          <w:rFonts w:ascii="仿宋_GB2312" w:hAnsi="仿宋_GB2312" w:cs="仿宋_GB2312"/>
        </w:rPr>
      </w:pPr>
    </w:p>
    <w:p>
      <w:pPr>
        <w:jc w:val="center"/>
        <w:rPr>
          <w:rFonts w:ascii="仿宋_GB2312" w:hAnsi="仿宋_GB2312" w:cs="仿宋_GB2312"/>
        </w:rPr>
      </w:pPr>
    </w:p>
    <w:p>
      <w:pPr>
        <w:jc w:val="center"/>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公开01表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96"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7"/>
        <w:gridCol w:w="992"/>
        <w:gridCol w:w="3400"/>
        <w:gridCol w:w="1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425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454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3、国有资本经营预算财政拨款</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4、上级补助收入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4、公共安全支出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5、事业收入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6、经营收入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6、科学技术支出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7、附属单位上缴收入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7、文化旅游体育和传媒支出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8、其他收入</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10、节能环保支出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11、城乡社区支出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12、农林水支出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13、交通运输支出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17、援助其他地区支出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18、自然资源海洋气象等支出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20、粮油物资储备支出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21、灾害防治及应急管理支出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22、其他支出</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用事业基金弥补收支差额</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结余分配</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年初结转和结余</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年末结转和结余</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2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9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34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11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br w:type="page"/>
      </w:r>
      <w:r>
        <w:rPr>
          <w:rFonts w:hint="eastAsia" w:ascii="方正小标宋简体" w:hAnsi="方正小标宋简体" w:eastAsia="方正小标宋简体" w:cs="方正小标宋简体"/>
          <w:sz w:val="36"/>
          <w:szCs w:val="36"/>
        </w:rPr>
        <w:t>收入决算表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公开02表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588"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3"/>
        <w:gridCol w:w="1843"/>
        <w:gridCol w:w="870"/>
        <w:gridCol w:w="871"/>
        <w:gridCol w:w="725"/>
        <w:gridCol w:w="871"/>
        <w:gridCol w:w="871"/>
        <w:gridCol w:w="567"/>
        <w:gridCol w:w="92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9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870"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本年收入合计</w:t>
            </w:r>
          </w:p>
        </w:tc>
        <w:tc>
          <w:tcPr>
            <w:tcW w:w="87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财政拨款收入</w:t>
            </w:r>
          </w:p>
        </w:tc>
        <w:tc>
          <w:tcPr>
            <w:tcW w:w="72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上级补助收入</w:t>
            </w:r>
          </w:p>
        </w:tc>
        <w:tc>
          <w:tcPr>
            <w:tcW w:w="174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事业收入</w:t>
            </w:r>
          </w:p>
        </w:tc>
        <w:tc>
          <w:tcPr>
            <w:tcW w:w="56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928"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附属单位上缴收入</w:t>
            </w:r>
          </w:p>
        </w:tc>
        <w:tc>
          <w:tcPr>
            <w:tcW w:w="92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其他</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功能分类</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科目编码</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870"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71"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72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其中：教育收费</w:t>
            </w:r>
          </w:p>
        </w:tc>
        <w:tc>
          <w:tcPr>
            <w:tcW w:w="56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8"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29"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9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127.7</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127.7</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20106</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财政事务</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2010601</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20113</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商贸事务</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2011308</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招商引资</w:t>
            </w: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注：本表反映部门本年度取得的各项收入情况。本表金额转换为万元时，因四舍五入可能存在尾差。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公开03表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820"/>
        <w:gridCol w:w="699"/>
        <w:gridCol w:w="829"/>
        <w:gridCol w:w="1185"/>
        <w:gridCol w:w="894"/>
        <w:gridCol w:w="989"/>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31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w:t>
            </w:r>
          </w:p>
        </w:tc>
        <w:tc>
          <w:tcPr>
            <w:tcW w:w="69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82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基本</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18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89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上缴上级支出</w:t>
            </w:r>
          </w:p>
        </w:tc>
        <w:tc>
          <w:tcPr>
            <w:tcW w:w="98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经营</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c>
          <w:tcPr>
            <w:tcW w:w="11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
                <w:bCs/>
                <w:sz w:val="20"/>
                <w:szCs w:val="20"/>
              </w:rPr>
            </w:pPr>
            <w:r>
              <w:rPr>
                <w:rFonts w:hint="eastAsia" w:ascii="宋体" w:hAnsi="宋体" w:eastAsia="宋体" w:cs="宋体"/>
                <w:b/>
                <w:bCs/>
                <w:sz w:val="20"/>
                <w:szCs w:val="20"/>
              </w:rPr>
              <w:t>功能科目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编码</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69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2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8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98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8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20104</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发展与改革事务</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2010401</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20113</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商贸事务</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3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2011308</w:t>
            </w:r>
          </w:p>
        </w:tc>
        <w:tc>
          <w:tcPr>
            <w:tcW w:w="1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招商引资</w:t>
            </w:r>
          </w:p>
        </w:tc>
        <w:tc>
          <w:tcPr>
            <w:tcW w:w="6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w:t>
            </w:r>
          </w:p>
        </w:tc>
        <w:tc>
          <w:tcPr>
            <w:tcW w:w="8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9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1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注：本表反映部门本年度各项支出情况。本表金额转换为万元时，因四舍五入可能存在尾差。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财政拨款收入支出决算总表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公开04表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851"/>
        <w:gridCol w:w="1703"/>
        <w:gridCol w:w="918"/>
        <w:gridCol w:w="15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37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收入</w:t>
            </w:r>
          </w:p>
        </w:tc>
        <w:tc>
          <w:tcPr>
            <w:tcW w:w="564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政府性基金预算财政拨款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1、一般公共预算财政拨款</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1、一般公共服务支出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2、政府性基金预算财政拨款</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2、外交支出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3、国有资本经营预算收入</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3、国防支出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5、教育支出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8、社会保障和就业支出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9、卫生健康支出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14、资源勘探信息等支出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15、商业服务业等支出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16、金融支出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19、住房保障支出</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本年收入合计</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本年支出合计</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年初财政拨款结转和结余</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年末财政拨款结转和结余</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一、一般公共预算财政拨款</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二、政府性基金预算财政拨款</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收入总计</w:t>
            </w:r>
          </w:p>
        </w:tc>
        <w:tc>
          <w:tcPr>
            <w:tcW w:w="8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7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b/>
                <w:bCs/>
                <w:sz w:val="20"/>
                <w:szCs w:val="20"/>
              </w:rPr>
              <w:t>支出总计</w:t>
            </w:r>
          </w:p>
        </w:tc>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5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127.7</w:t>
            </w:r>
          </w:p>
        </w:tc>
        <w:tc>
          <w:tcPr>
            <w:tcW w:w="15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注：本表反映部门本年度一般公共预算财政拨款和政府性基金预算财政拨款的总收支和年末结转结余情况。本表金额转换为万元时，因四舍五入可能存在尾差。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一般公共预算财政拨款支出决算表（按功能分类科目）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公开05表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757"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2042"/>
        <w:gridCol w:w="727"/>
        <w:gridCol w:w="763"/>
        <w:gridCol w:w="1084"/>
        <w:gridCol w:w="1167"/>
        <w:gridCol w:w="1070"/>
        <w:gridCol w:w="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33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72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3014"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07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58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72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07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58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336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127.7</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97.7</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91.7</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201</w:t>
            </w:r>
          </w:p>
        </w:tc>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一般公共服务支出</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127.7</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97.7</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91.7</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20104</w:t>
            </w:r>
          </w:p>
        </w:tc>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发展与改革事务</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97.7</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97.7</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91.7</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2010401</w:t>
            </w:r>
          </w:p>
        </w:tc>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行政运行</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97.7</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97.7</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91.7</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6</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20113</w:t>
            </w:r>
          </w:p>
        </w:tc>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商贸事务</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3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2011308</w:t>
            </w:r>
          </w:p>
        </w:tc>
        <w:tc>
          <w:tcPr>
            <w:tcW w:w="2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招商引资</w:t>
            </w:r>
          </w:p>
        </w:tc>
        <w:tc>
          <w:tcPr>
            <w:tcW w:w="7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w:t>
            </w:r>
          </w:p>
        </w:tc>
        <w:tc>
          <w:tcPr>
            <w:tcW w:w="7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8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1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0</w:t>
            </w:r>
          </w:p>
        </w:tc>
        <w:tc>
          <w:tcPr>
            <w:tcW w:w="10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30</w:t>
            </w:r>
          </w:p>
        </w:tc>
        <w:tc>
          <w:tcPr>
            <w:tcW w:w="58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注：本表反映部门本年度一般公共预算财政拨款实际支出情况。本表金额转换为万元时，因四舍五入可能存在尾差。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一般公共预算财政拨款基本支出决算表（按经济分类科目）</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公开06表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9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2"/>
        <w:gridCol w:w="2724"/>
        <w:gridCol w:w="1052"/>
        <w:gridCol w:w="1305"/>
        <w:gridCol w:w="1411"/>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本年支出合计</w:t>
            </w:r>
          </w:p>
        </w:tc>
        <w:tc>
          <w:tcPr>
            <w:tcW w:w="130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人员经费</w:t>
            </w:r>
          </w:p>
        </w:tc>
        <w:tc>
          <w:tcPr>
            <w:tcW w:w="141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公用经费</w:t>
            </w:r>
          </w:p>
        </w:tc>
        <w:tc>
          <w:tcPr>
            <w:tcW w:w="12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经济分类科目</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30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4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43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91.7</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Cs/>
                <w:sz w:val="20"/>
                <w:szCs w:val="20"/>
              </w:rPr>
              <w:t>91.7</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工资福利支出</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97.7</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91.7</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30101</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基本工资</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30.8</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30.8</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30102</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津贴补贴</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26</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30103</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奖金</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8.8</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8.8</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30108</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机关事业单位基本养老保险</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9.16</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9.16</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30112</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其他社会保障缴费</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1.1</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职工基本医疗保险缴费</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9.8</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30199</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其他工资福利支出</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6.1</w:t>
            </w: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302</w:t>
            </w: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r>
              <w:rPr>
                <w:rFonts w:hint="eastAsia" w:ascii="宋体" w:hAnsi="宋体" w:eastAsia="宋体" w:cs="宋体"/>
                <w:sz w:val="20"/>
                <w:szCs w:val="20"/>
              </w:rPr>
              <w:t>商品和服务支出</w:t>
            </w: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w:t>
            </w: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6</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both"/>
              <w:textAlignment w:val="auto"/>
              <w:rPr>
                <w:rFonts w:hint="eastAsia" w:ascii="宋体" w:hAnsi="宋体" w:eastAsia="宋体" w:cs="宋体"/>
                <w:sz w:val="20"/>
                <w:szCs w:val="20"/>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0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27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3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4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注：本表反映部门本年一般公共预算财政拨款基本支出情况。单位万元时，因四舍五入可能存在尾差。</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宋体" w:hAnsi="宋体" w:eastAsia="宋体" w:cs="宋体"/>
          <w:sz w:val="20"/>
          <w:szCs w:val="20"/>
        </w:rPr>
        <w:br w:type="page"/>
      </w:r>
      <w:r>
        <w:rPr>
          <w:rFonts w:hint="eastAsia" w:ascii="方正小标宋简体" w:hAnsi="方正小标宋简体" w:eastAsia="方正小标宋简体" w:cs="方正小标宋简体"/>
          <w:sz w:val="36"/>
          <w:szCs w:val="36"/>
        </w:rPr>
        <w:t>一般公共预算财政拨款“三公”经费及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会议费、培训费支出决算表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公开07表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38"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1001"/>
        <w:gridCol w:w="1003"/>
        <w:gridCol w:w="1003"/>
        <w:gridCol w:w="1003"/>
        <w:gridCol w:w="1003"/>
        <w:gridCol w:w="1007"/>
        <w:gridCol w:w="1003"/>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91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w:t>
            </w:r>
          </w:p>
        </w:tc>
        <w:tc>
          <w:tcPr>
            <w:tcW w:w="602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一般公共预算财政拨款安排的“三公”经费</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因公出国（境）费用</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公务接待费</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公务用车购置费</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公务用车运行维护费</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会议费</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1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预算数</w:t>
            </w: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决算数</w:t>
            </w:r>
          </w:p>
        </w:tc>
        <w:tc>
          <w:tcPr>
            <w:tcW w:w="10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c>
          <w:tcPr>
            <w:tcW w:w="10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5.9</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r>
              <w:rPr>
                <w:rFonts w:hint="eastAsia" w:ascii="宋体" w:hAnsi="宋体" w:eastAsia="宋体" w:cs="宋体"/>
                <w:sz w:val="20"/>
                <w:szCs w:val="20"/>
              </w:rPr>
              <w:t>0</w:t>
            </w: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注：本表反映部门本年度一般公共预算财政拨款“三公”经费、会议费、培训费的预算数和实际支出。预算数为调整预算数。本表金额转换为万元时，因四舍五入可能存在尾差。</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政府性基金预算财政拨款收入支出决算表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公开08表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98"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46"/>
        <w:gridCol w:w="1075"/>
        <w:gridCol w:w="1139"/>
        <w:gridCol w:w="1139"/>
        <w:gridCol w:w="1139"/>
        <w:gridCol w:w="1141"/>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22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1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222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注：本表反映部门本年度政府性基金预算财政拨款收入支出及结转和结余情况，本部门无政府性基金预算拨款收支项目。</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政府国有资本经营财政拨款收入支出决算表</w:t>
      </w:r>
    </w:p>
    <w:p>
      <w:pPr>
        <w:keepNext w:val="0"/>
        <w:keepLines w:val="0"/>
        <w:pageBreakBefore w:val="0"/>
        <w:kinsoku/>
        <w:wordWrap/>
        <w:overflowPunct/>
        <w:topLinePunct w:val="0"/>
        <w:autoSpaceDE/>
        <w:autoSpaceDN/>
        <w:bidi w:val="0"/>
        <w:adjustRightInd/>
        <w:snapToGrid/>
        <w:spacing w:line="280" w:lineRule="exact"/>
        <w:ind w:firstLine="0" w:firstLineChars="0"/>
        <w:jc w:val="right"/>
        <w:textAlignment w:val="auto"/>
        <w:rPr>
          <w:rFonts w:hint="eastAsia" w:ascii="宋体" w:hAnsi="宋体" w:eastAsia="宋体" w:cs="宋体"/>
          <w:b/>
          <w:bCs/>
          <w:sz w:val="20"/>
          <w:szCs w:val="20"/>
        </w:rPr>
      </w:pPr>
      <w:r>
        <w:rPr>
          <w:rFonts w:hint="eastAsia" w:ascii="宋体" w:hAnsi="宋体" w:eastAsia="宋体" w:cs="宋体"/>
          <w:b/>
          <w:bCs/>
          <w:sz w:val="20"/>
          <w:szCs w:val="20"/>
        </w:rPr>
        <w:t>公开09表</w:t>
      </w:r>
    </w:p>
    <w:p>
      <w:pPr>
        <w:keepNext w:val="0"/>
        <w:keepLines w:val="0"/>
        <w:pageBreakBefore w:val="0"/>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b/>
          <w:bCs/>
          <w:sz w:val="20"/>
          <w:szCs w:val="20"/>
        </w:rPr>
      </w:pPr>
      <w:r>
        <w:rPr>
          <w:rFonts w:hint="eastAsia" w:ascii="宋体" w:hAnsi="宋体" w:eastAsia="宋体" w:cs="宋体"/>
          <w:b/>
          <w:bCs/>
          <w:sz w:val="20"/>
          <w:szCs w:val="20"/>
        </w:rPr>
        <w:t>编制部门：镇安县招商服务中</w:t>
      </w:r>
      <w:r>
        <w:rPr>
          <w:rFonts w:hint="eastAsia" w:ascii="宋体" w:hAnsi="宋体" w:eastAsia="宋体" w:cs="宋体"/>
          <w:b/>
          <w:bCs/>
          <w:sz w:val="20"/>
          <w:szCs w:val="20"/>
          <w:lang w:eastAsia="zh-CN"/>
        </w:rPr>
        <w:t>心</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w:t>
      </w:r>
      <w:r>
        <w:rPr>
          <w:rFonts w:hint="eastAsia" w:ascii="宋体" w:hAnsi="宋体" w:eastAsia="宋体" w:cs="宋体"/>
          <w:b/>
          <w:bCs/>
          <w:sz w:val="20"/>
          <w:szCs w:val="20"/>
          <w:lang w:val="en-US" w:eastAsia="zh-CN"/>
        </w:rPr>
        <w:t xml:space="preserve">       </w:t>
      </w:r>
      <w:r>
        <w:rPr>
          <w:rFonts w:hint="eastAsia" w:ascii="宋体" w:hAnsi="宋体" w:eastAsia="宋体" w:cs="宋体"/>
          <w:b/>
          <w:bCs/>
          <w:sz w:val="20"/>
          <w:szCs w:val="20"/>
        </w:rPr>
        <w:t xml:space="preserve">               金额单位：万元</w:t>
      </w:r>
    </w:p>
    <w:tbl>
      <w:tblPr>
        <w:tblStyle w:val="9"/>
        <w:tblW w:w="887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042"/>
        <w:gridCol w:w="1072"/>
        <w:gridCol w:w="1137"/>
        <w:gridCol w:w="1137"/>
        <w:gridCol w:w="1137"/>
        <w:gridCol w:w="1137"/>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2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  目</w:t>
            </w:r>
          </w:p>
        </w:tc>
        <w:tc>
          <w:tcPr>
            <w:tcW w:w="107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年初结转和结余</w:t>
            </w:r>
          </w:p>
        </w:tc>
        <w:tc>
          <w:tcPr>
            <w:tcW w:w="113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本年收入</w:t>
            </w:r>
          </w:p>
        </w:tc>
        <w:tc>
          <w:tcPr>
            <w:tcW w:w="341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本年支出</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年末结转和结余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功能分类科目编码</w:t>
            </w: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科目名称</w:t>
            </w:r>
          </w:p>
        </w:tc>
        <w:tc>
          <w:tcPr>
            <w:tcW w:w="107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小计</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基本支出</w:t>
            </w: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项目支出</w:t>
            </w: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ind w:firstLine="0" w:firstLineChars="0"/>
              <w:jc w:val="left"/>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r>
              <w:rPr>
                <w:rFonts w:hint="eastAsia" w:ascii="宋体" w:hAnsi="宋体" w:eastAsia="宋体" w:cs="宋体"/>
                <w:b/>
                <w:bCs/>
                <w:sz w:val="20"/>
                <w:szCs w:val="20"/>
              </w:rPr>
              <w:t>合计</w:t>
            </w:r>
          </w:p>
        </w:tc>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11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80" w:lineRule="exact"/>
              <w:ind w:firstLine="0" w:firstLineChars="0"/>
              <w:jc w:val="center"/>
              <w:textAlignment w:val="auto"/>
              <w:rPr>
                <w:rFonts w:hint="eastAsia" w:ascii="宋体" w:hAnsi="宋体" w:eastAsia="宋体" w:cs="宋体"/>
                <w:sz w:val="20"/>
                <w:szCs w:val="20"/>
              </w:rPr>
            </w:pPr>
          </w:p>
        </w:tc>
      </w:tr>
    </w:tbl>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p>
    <w:p>
      <w:pPr>
        <w:keepNext w:val="0"/>
        <w:keepLines w:val="0"/>
        <w:pageBreakBefore w:val="0"/>
        <w:shd w:val="clear" w:color="auto" w:fill="FFFFFF"/>
        <w:kinsoku/>
        <w:wordWrap/>
        <w:overflowPunct/>
        <w:topLinePunct w:val="0"/>
        <w:autoSpaceDE/>
        <w:autoSpaceDN/>
        <w:bidi w:val="0"/>
        <w:adjustRightInd/>
        <w:snapToGrid/>
        <w:spacing w:line="280" w:lineRule="exact"/>
        <w:ind w:firstLine="0" w:firstLineChars="0"/>
        <w:textAlignment w:val="auto"/>
        <w:rPr>
          <w:rFonts w:hint="eastAsia" w:ascii="宋体" w:hAnsi="宋体" w:eastAsia="宋体" w:cs="宋体"/>
          <w:sz w:val="20"/>
          <w:szCs w:val="20"/>
        </w:rPr>
      </w:pPr>
      <w:r>
        <w:rPr>
          <w:rFonts w:hint="eastAsia" w:ascii="宋体" w:hAnsi="宋体" w:eastAsia="宋体" w:cs="宋体"/>
          <w:sz w:val="20"/>
          <w:szCs w:val="20"/>
        </w:rPr>
        <w:t>注：本表反映部门本年度国有资本经营预算财政拨款支出情况，本部门本年无度国有资本经营预算财政拨款支出。</w:t>
      </w:r>
    </w:p>
    <w:p>
      <w:pPr>
        <w:spacing w:line="560" w:lineRule="exact"/>
        <w:jc w:val="center"/>
        <w:rPr>
          <w:rFonts w:ascii="方正小标宋简体" w:hAnsi="方正小标宋简体" w:eastAsia="方正小标宋简体" w:cs="方正小标宋简体"/>
          <w:sz w:val="40"/>
          <w:szCs w:val="40"/>
        </w:rPr>
      </w:pPr>
      <w:r>
        <w:rPr>
          <w:rFonts w:hint="eastAsia" w:ascii="宋体" w:hAnsi="宋体" w:cs="宋体"/>
          <w:sz w:val="20"/>
          <w:szCs w:val="20"/>
        </w:rPr>
        <w:br w:type="page"/>
      </w:r>
      <w:r>
        <w:rPr>
          <w:rFonts w:hint="eastAsia" w:ascii="方正小标宋简体" w:hAnsi="方正小标宋简体" w:eastAsia="方正小标宋简体" w:cs="方正小标宋简体"/>
          <w:sz w:val="40"/>
          <w:szCs w:val="40"/>
        </w:rPr>
        <w:t>第三部分  2020年部门决算情况说明</w:t>
      </w:r>
    </w:p>
    <w:p>
      <w:pPr>
        <w:spacing w:line="560" w:lineRule="exact"/>
        <w:ind w:firstLine="632" w:firstLineChars="200"/>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2020年收入、支出总计127.7万元，与2019年相比，收入、支出总计减少45.55万元，减少26.3%，主要是：厉行节约压缩日常支出及招商引资活动开支。</w:t>
      </w:r>
    </w:p>
    <w:p>
      <w:pPr>
        <w:tabs>
          <w:tab w:val="left" w:pos="6677"/>
        </w:tabs>
        <w:rPr>
          <w:rFonts w:ascii="仿宋_GB2312" w:hAnsi="仿宋_GB2312" w:cs="仿宋_GB2312"/>
          <w:sz w:val="32"/>
          <w:szCs w:val="32"/>
        </w:rPr>
      </w:pPr>
      <w:r>
        <w:rPr>
          <w:rFonts w:ascii="仿宋_GB2312" w:hAnsi="仿宋_GB2312" w:cs="仿宋_GB2312"/>
          <w:sz w:val="32"/>
          <w:szCs w:val="32"/>
        </w:rPr>
        <w:tab/>
      </w:r>
      <w:r>
        <w:rPr>
          <w:rFonts w:hint="eastAsia" w:ascii="仿宋_GB2312" w:hAnsi="仿宋_GB2312" w:cs="仿宋_GB2312"/>
          <w:sz w:val="32"/>
          <w:szCs w:val="32"/>
        </w:rPr>
        <w:t>单位：万元</w:t>
      </w:r>
    </w:p>
    <w:p>
      <w:pPr>
        <w:jc w:val="center"/>
        <w:rPr>
          <w:rFonts w:ascii="仿宋_GB2312" w:hAnsi="仿宋_GB2312" w:cs="仿宋_GB2312"/>
          <w:sz w:val="32"/>
          <w:szCs w:val="32"/>
        </w:rPr>
      </w:pPr>
      <w:r>
        <w:rPr>
          <w:rFonts w:hint="eastAsia" w:ascii="仿宋_GB2312" w:hAnsi="仿宋_GB2312" w:cs="仿宋_GB2312"/>
          <w:sz w:val="32"/>
          <w:szCs w:val="32"/>
        </w:rPr>
        <w:drawing>
          <wp:inline distT="0" distB="0" distL="114300" distR="114300">
            <wp:extent cx="4936490" cy="3731895"/>
            <wp:effectExtent l="4445" t="4445" r="12065" b="1651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二、收入决算情况说明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2020年收入合计127.7万元，其中：财政拨款收入127.7万元，占总收入100%；事业收入0万元，占总收入0%；其他收入0万元，占总收入0%，</w:t>
      </w:r>
    </w:p>
    <w:p>
      <w:pPr>
        <w:tabs>
          <w:tab w:val="left" w:pos="6636"/>
        </w:tabs>
        <w:jc w:val="right"/>
        <w:rPr>
          <w:rFonts w:ascii="仿宋_GB2312" w:hAnsi="仿宋_GB2312" w:cs="仿宋_GB2312"/>
          <w:sz w:val="32"/>
          <w:szCs w:val="32"/>
        </w:rPr>
      </w:pPr>
      <w:r>
        <w:rPr>
          <w:rFonts w:hint="eastAsia" w:ascii="仿宋_GB2312" w:hAnsi="仿宋_GB2312" w:cs="仿宋_GB2312"/>
          <w:sz w:val="32"/>
          <w:szCs w:val="32"/>
        </w:rPr>
        <w:t>单位：万元</w:t>
      </w:r>
    </w:p>
    <w:p>
      <w:pPr>
        <w:jc w:val="center"/>
        <w:rPr>
          <w:rFonts w:ascii="仿宋_GB2312" w:hAnsi="仿宋_GB2312" w:cs="仿宋_GB2312"/>
          <w:sz w:val="32"/>
          <w:szCs w:val="32"/>
        </w:rPr>
      </w:pPr>
      <w:r>
        <w:rPr>
          <w:rFonts w:hint="eastAsia" w:ascii="仿宋_GB2312" w:hAnsi="仿宋_GB2312" w:cs="仿宋_GB2312"/>
          <w:sz w:val="32"/>
          <w:szCs w:val="32"/>
        </w:rPr>
        <w:drawing>
          <wp:inline distT="0" distB="0" distL="0" distR="0">
            <wp:extent cx="4978400" cy="2909570"/>
            <wp:effectExtent l="4445" t="4445" r="8255" b="1968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三、支出决算情况说</w:t>
      </w:r>
      <w:r>
        <w:rPr>
          <w:rFonts w:hint="eastAsia" w:ascii="黑体" w:hAnsi="黑体" w:eastAsia="黑体" w:cs="黑体"/>
          <w:sz w:val="32"/>
          <w:szCs w:val="32"/>
          <w:lang w:eastAsia="zh-CN"/>
        </w:rPr>
        <w:t>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2020年支出合计127.7万元，其中：基本支出97.7万元，占总支出76.5%；项目支出30万元，占总支出23.5%。</w:t>
      </w:r>
    </w:p>
    <w:p>
      <w:pPr>
        <w:tabs>
          <w:tab w:val="left" w:pos="6898"/>
        </w:tabs>
        <w:rPr>
          <w:rFonts w:ascii="仿宋_GB2312" w:hAnsi="仿宋_GB2312" w:cs="仿宋_GB2312"/>
          <w:sz w:val="32"/>
          <w:szCs w:val="32"/>
        </w:rPr>
      </w:pPr>
      <w:r>
        <w:rPr>
          <w:rFonts w:ascii="仿宋_GB2312" w:hAnsi="仿宋_GB2312" w:cs="仿宋_GB2312"/>
          <w:sz w:val="32"/>
          <w:szCs w:val="32"/>
        </w:rPr>
        <w:tab/>
      </w:r>
      <w:r>
        <w:rPr>
          <w:rFonts w:hint="eastAsia" w:ascii="仿宋_GB2312" w:hAnsi="仿宋_GB2312" w:cs="仿宋_GB2312"/>
          <w:sz w:val="32"/>
          <w:szCs w:val="32"/>
        </w:rPr>
        <w:t>单位：万元</w:t>
      </w:r>
    </w:p>
    <w:p>
      <w:pPr>
        <w:rPr>
          <w:rFonts w:ascii="仿宋_GB2312" w:hAnsi="仿宋_GB2312" w:cs="仿宋_GB2312"/>
          <w:sz w:val="32"/>
          <w:szCs w:val="32"/>
        </w:rPr>
      </w:pPr>
      <w:r>
        <w:rPr>
          <w:rFonts w:hint="eastAsia" w:ascii="仿宋_GB2312" w:hAnsi="仿宋_GB2312" w:cs="仿宋_GB2312"/>
          <w:sz w:val="32"/>
          <w:szCs w:val="32"/>
        </w:rPr>
        <w:drawing>
          <wp:inline distT="0" distB="0" distL="114300" distR="114300">
            <wp:extent cx="5486400" cy="31242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2020年度财政拨款收入、支出总计127.7万元，与2019年度相比，财政拨款收入、支出总计减少45.55万元，减少26.3%，主要是：厉行节约压缩日常支出及招商引资活动开支。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p>
    <w:p>
      <w:pPr>
        <w:tabs>
          <w:tab w:val="left" w:pos="6636"/>
        </w:tabs>
        <w:jc w:val="right"/>
        <w:rPr>
          <w:rFonts w:ascii="仿宋_GB2312" w:hAnsi="仿宋_GB2312" w:cs="仿宋_GB2312"/>
          <w:sz w:val="32"/>
          <w:szCs w:val="32"/>
        </w:rPr>
      </w:pPr>
      <w:r>
        <w:rPr>
          <w:rFonts w:hint="eastAsia" w:ascii="仿宋_GB2312" w:hAnsi="仿宋_GB2312" w:cs="仿宋_GB2312"/>
          <w:sz w:val="32"/>
          <w:szCs w:val="32"/>
        </w:rPr>
        <w:t>单位：万元</w:t>
      </w:r>
    </w:p>
    <w:p>
      <w:pPr>
        <w:rPr>
          <w:rFonts w:hint="eastAsia" w:ascii="仿宋_GB2312" w:hAnsi="仿宋_GB2312" w:cs="仿宋_GB2312"/>
          <w:sz w:val="32"/>
          <w:szCs w:val="32"/>
        </w:rPr>
      </w:pPr>
      <w:r>
        <w:rPr>
          <w:rFonts w:hint="eastAsia" w:ascii="仿宋_GB2312" w:hAnsi="仿宋_GB2312" w:cs="仿宋_GB2312"/>
          <w:sz w:val="32"/>
          <w:szCs w:val="32"/>
        </w:rPr>
        <w:drawing>
          <wp:inline distT="0" distB="0" distL="114300" distR="114300">
            <wp:extent cx="5467350" cy="2943225"/>
            <wp:effectExtent l="0" t="0" r="0" b="952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rPr>
          <w:rFonts w:hint="eastAsia" w:ascii="仿宋_GB2312" w:hAnsi="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r>
        <w:rPr>
          <w:rFonts w:hint="eastAsia" w:ascii="仿宋_GB2312" w:hAnsi="仿宋_GB2312" w:cs="仿宋_GB2312"/>
          <w:sz w:val="32"/>
          <w:szCs w:val="32"/>
        </w:rPr>
        <w:t>2020年财政拨款支出127.7万元，占本年支出合计的100%。与2019年相比，财政拨款支出减少45.55万元，减少26.3%，主要原因是：厉行节约压缩日常支出及招商引资活动开支。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仿宋_GB2312" w:hAnsi="仿宋_GB2312" w:cs="仿宋_GB2312"/>
          <w:sz w:val="32"/>
          <w:szCs w:val="32"/>
        </w:rPr>
      </w:pPr>
    </w:p>
    <w:p>
      <w:pPr>
        <w:tabs>
          <w:tab w:val="left" w:pos="6320"/>
        </w:tabs>
        <w:jc w:val="right"/>
        <w:rPr>
          <w:rFonts w:ascii="仿宋_GB2312" w:hAnsi="仿宋_GB2312" w:cs="仿宋_GB2312"/>
          <w:sz w:val="32"/>
          <w:szCs w:val="32"/>
        </w:rPr>
      </w:pPr>
      <w:r>
        <w:rPr>
          <w:rFonts w:hint="eastAsia" w:ascii="仿宋_GB2312" w:hAnsi="仿宋_GB2312" w:cs="仿宋_GB2312"/>
          <w:sz w:val="32"/>
          <w:szCs w:val="32"/>
        </w:rPr>
        <w:t>单位：万元</w:t>
      </w:r>
    </w:p>
    <w:p>
      <w:pPr>
        <w:rPr>
          <w:rFonts w:ascii="仿宋_GB2312" w:hAnsi="仿宋_GB2312" w:cs="仿宋_GB2312"/>
          <w:sz w:val="32"/>
          <w:szCs w:val="32"/>
        </w:rPr>
      </w:pPr>
      <w:r>
        <w:rPr>
          <w:rFonts w:hint="eastAsia" w:ascii="仿宋_GB2312" w:hAnsi="仿宋_GB2312" w:cs="仿宋_GB2312"/>
          <w:sz w:val="32"/>
          <w:szCs w:val="32"/>
        </w:rPr>
        <w:drawing>
          <wp:inline distT="0" distB="0" distL="114300" distR="114300">
            <wp:extent cx="5219700" cy="2581275"/>
            <wp:effectExtent l="0" t="0" r="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2020年财政拨款支出年初预算为108.9万元，调整预算为127.7万元，支出决算为127.7万元，完成预算的100%。按照政府功能分类科目分，其中：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1.一般公共服务支出（类）财政事务（款）行政运行（项）。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年初预算为108.9万元，调整预算为97.7万元，支出决算为97.7万元，完成预算的100%，决算数小于预算数的主要原因是：压缩一般性支出，严格控制各项经费。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2.一般公共服务支出（类）财政事务（款）一般行政管理事务（项）。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年初预算为0万元，调整预算为30.0万元，支出决算为30.0万元，完成预算的100%，决算数大于预算数的主要原因是：招商引资项目支出。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六、一般公共预算财政拨款基本支出决算情况说明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2020年一般公共预算财政拨款基本支出97.7元，包括：人员经费支出91.7万元和公用经费支出6万元。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人员经费支出</w:t>
      </w:r>
      <w:r>
        <w:rPr>
          <w:rFonts w:hint="eastAsia" w:ascii="仿宋_GB2312" w:hAnsi="仿宋_GB2312" w:cs="仿宋_GB2312"/>
          <w:sz w:val="32"/>
          <w:szCs w:val="32"/>
        </w:rPr>
        <w:t>91.7万元，主要包括基本工资30.8万元、津贴补贴26万元、奖金8.8万元、机关事业单位基本保险养老缴费9.16万元、医疗保险缴费9.15万元，其他社会保障缴费1.1万元，其他工资福利支出6.1万元。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b/>
          <w:bCs/>
          <w:sz w:val="32"/>
          <w:szCs w:val="32"/>
        </w:rPr>
        <w:t>公用经费支出</w:t>
      </w:r>
      <w:r>
        <w:rPr>
          <w:rFonts w:hint="eastAsia" w:ascii="仿宋_GB2312" w:hAnsi="仿宋_GB2312" w:cs="仿宋_GB2312"/>
          <w:sz w:val="32"/>
          <w:szCs w:val="32"/>
        </w:rPr>
        <w:t>6万元，主要包括办公费1.6万元、印刷费1.6万元、电费0.19万元、邮电费0.6万元，工会经费2万元。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七、一般公共预算财政拨款“三公”经费及会议费、培训费支出决算情况说明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（一）“三公”经费财政拨款支出决算总体情况说明。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2020年“三公”经费财政拨款支出预算为0万元，支出决算为0万元，完成预算的0%。决算数较预算数增加（减少）0万元，主要原因是未安排支出。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（二）“三公”经费财政拨款支出决算具体情况说明。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三公”经费财政拨款支出决算中，因公出国（境）费支出决算0万元，占“三公”经费总支出0%；公务用车购置费支出0万元，占“三公”经费总支出0%；公务用车运行维护费支出决算0万元，占“三公”经费总支出0%；公务接待费支出决算0万元，占“三公”经费总支出0%。具体情况如下：</w:t>
      </w:r>
    </w:p>
    <w:p>
      <w:pPr>
        <w:rPr>
          <w:rFonts w:hint="eastAsia" w:ascii="仿宋_GB2312" w:hAnsi="仿宋_GB2312" w:cs="仿宋_GB2312"/>
          <w:color w:val="FF0000"/>
          <w:sz w:val="32"/>
          <w:szCs w:val="32"/>
        </w:rPr>
      </w:pPr>
    </w:p>
    <w:p>
      <w:pPr>
        <w:rPr>
          <w:rFonts w:hint="eastAsia" w:ascii="仿宋_GB2312" w:hAnsi="仿宋_GB2312" w:cs="仿宋_GB2312"/>
          <w:color w:val="FF0000"/>
          <w:sz w:val="32"/>
          <w:szCs w:val="32"/>
        </w:rPr>
      </w:pPr>
    </w:p>
    <w:p>
      <w:pPr>
        <w:jc w:val="center"/>
        <w:rPr>
          <w:rFonts w:hint="eastAsia" w:ascii="仿宋_GB2312" w:hAnsi="仿宋_GB2312" w:cs="仿宋_GB2312"/>
          <w:color w:val="FF0000"/>
          <w:sz w:val="32"/>
          <w:szCs w:val="32"/>
        </w:rPr>
      </w:pPr>
      <w:r>
        <w:rPr>
          <w:rFonts w:hint="eastAsia" w:ascii="仿宋_GB2312" w:hAnsi="仿宋_GB2312" w:cs="仿宋_GB2312"/>
          <w:color w:val="FF0000"/>
          <w:sz w:val="32"/>
          <w:szCs w:val="32"/>
        </w:rPr>
        <w:drawing>
          <wp:inline distT="0" distB="0" distL="0" distR="0">
            <wp:extent cx="5278120" cy="3079115"/>
            <wp:effectExtent l="0" t="0" r="17780" b="2603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1.因出国（境）支出情况说明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2020年因公出国（境）团组0个，0人次，预算为0万元，支出决算为0万元，完成预算的0%，决算数较预算数减少0万元，主要原因是执行中央八项规定。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2.公务用车购置费用支出情况说明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2020年购置车辆0台，预算为0万元，支出决算为0万元，完成预算的0%，决算数与预算数增加（减少）主要原因是执行中央八项规定。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3.公务用车运行维护费用支出情况说明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2020年公务用车运行维护费预算为0万元，支出决算为0万元，完成预算的0%，决算数较预算数减少0万元，主要原因是车改。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b/>
          <w:bCs/>
          <w:sz w:val="32"/>
          <w:szCs w:val="32"/>
        </w:rPr>
      </w:pPr>
      <w:r>
        <w:rPr>
          <w:rFonts w:hint="eastAsia" w:ascii="仿宋_GB2312" w:hAnsi="仿宋_GB2312" w:cs="仿宋_GB2312"/>
          <w:b/>
          <w:bCs/>
          <w:sz w:val="32"/>
          <w:szCs w:val="32"/>
        </w:rPr>
        <w:t>4.公务接待费支出情况说明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2020年公务接待0批次，0人次，预算为0万元，支出决算为0万元，完成预算的0%，决算数较预算数增加（减少）0万元，主要原因是执行中央八项规定。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（三）培训费支出情况说明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2020年培训费预算为0万元，支出决算为0万元，完成预算的0%，决算数较预算数增加（减少）0万元，主要原因是未安排培训支出。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（四）会议费支出情况说明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2020年会议费预算为0万元，支出决算为0万元，完成预算的0%，决算数较预算数减少0万元，主要原因是未安排会议费支出。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八、政府性基金预算财政拨款收入支出情况说明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本部门无政府性基金决算收支，并已公开空表。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九、国有资本经营财政拨款收入支出情况说明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本部门无国有资本经营决算拨款收支。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黑体" w:hAnsi="黑体" w:eastAsia="黑体" w:cs="黑体"/>
          <w:sz w:val="32"/>
          <w:szCs w:val="32"/>
        </w:rPr>
      </w:pPr>
      <w:r>
        <w:rPr>
          <w:rFonts w:hint="eastAsia" w:ascii="黑体" w:hAnsi="黑体" w:eastAsia="黑体" w:cs="黑体"/>
          <w:sz w:val="32"/>
          <w:szCs w:val="32"/>
        </w:rPr>
        <w:t>十、预算绩效情况说明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（一）预算绩效管理工作开展情况说明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根据预算绩效管理要求，本部门组织对2020年一般公共预算项目支出全面开展绩效自评，其中，一级项目0个，二级项目0个，共涉及资金0万元，占一般公共预算项目支出总额的0%。（本年度无政府性基金预算项目）</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（二）部门决算中项目绩效自评结果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我局在2020年度部门决算中反映的出国出境经费、网络维护建设项目等共0个一级项目绩效自评结果。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1.出国出境项目绩效自评综述：根据年初设定的绩效目标，项目自评得100分。项目全年预算数0万元，执行数0万元，完成预算的100%。主要</w:t>
      </w:r>
      <w:r>
        <w:rPr>
          <w:rFonts w:ascii="仿宋_GB2312" w:hAnsi="仿宋_GB2312" w:cs="仿宋_GB2312"/>
          <w:sz w:val="32"/>
          <w:szCs w:val="32"/>
        </w:rPr>
        <w:t>产出与效果：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ascii="仿宋_GB2312" w:hAnsi="仿宋_GB2312" w:cs="仿宋_GB2312"/>
          <w:sz w:val="32"/>
          <w:szCs w:val="32"/>
        </w:rPr>
      </w:pPr>
      <w:r>
        <w:rPr>
          <w:rFonts w:hint="eastAsia" w:ascii="仿宋_GB2312" w:hAnsi="仿宋_GB2312" w:cs="仿宋_GB2312"/>
          <w:sz w:val="32"/>
          <w:szCs w:val="32"/>
        </w:rPr>
        <w:t>2.网络维护建设项目绩效自评综述：根据年初设定的绩效目标，项目自评得分100分。项目全年预算数0万元，执行数0万元，完成预算的100%。</w:t>
      </w:r>
    </w:p>
    <w:p>
      <w:pPr>
        <w:spacing w:line="460" w:lineRule="exact"/>
        <w:jc w:val="center"/>
        <w:rPr>
          <w:rFonts w:ascii="仿宋_GB2312" w:hAnsi="仿宋_GB2312" w:cs="仿宋_GB231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4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60" w:lineRule="exact"/>
        <w:jc w:val="center"/>
        <w:rPr>
          <w:rFonts w:hint="eastAsia" w:ascii="宋体" w:hAnsi="宋体" w:eastAsia="宋体" w:cs="宋体"/>
          <w:sz w:val="30"/>
          <w:szCs w:val="30"/>
        </w:rPr>
      </w:pPr>
      <w:r>
        <w:rPr>
          <w:rFonts w:hint="eastAsia" w:ascii="宋体" w:hAnsi="宋体" w:eastAsia="宋体" w:cs="宋体"/>
          <w:sz w:val="30"/>
          <w:szCs w:val="30"/>
        </w:rPr>
        <w:t>（2020年度）</w:t>
      </w:r>
    </w:p>
    <w:tbl>
      <w:tblPr>
        <w:tblStyle w:val="9"/>
        <w:tblW w:w="9012"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648"/>
        <w:gridCol w:w="375"/>
        <w:gridCol w:w="825"/>
        <w:gridCol w:w="1113"/>
        <w:gridCol w:w="1431"/>
        <w:gridCol w:w="1230"/>
        <w:gridCol w:w="184"/>
        <w:gridCol w:w="777"/>
        <w:gridCol w:w="518"/>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280" w:type="dxa"/>
            <w:gridSpan w:val="8"/>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 xml:space="preserve">通用项目——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371" w:type="dxa"/>
            <w:gridSpan w:val="3"/>
            <w:tcBorders>
              <w:top w:val="single" w:color="auto" w:sz="4" w:space="0"/>
              <w:left w:val="single" w:color="auto" w:sz="4" w:space="0"/>
              <w:bottom w:val="single" w:color="auto" w:sz="4" w:space="0"/>
              <w:right w:val="single" w:color="auto" w:sz="4" w:space="0"/>
            </w:tcBorders>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XXX</w:t>
            </w:r>
          </w:p>
        </w:tc>
        <w:tc>
          <w:tcPr>
            <w:tcW w:w="1231"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678" w:type="dxa"/>
            <w:gridSpan w:val="4"/>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432"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eastAsia" w:ascii="宋体" w:hAnsi="宋体" w:eastAsia="宋体" w:cs="宋体"/>
                <w:sz w:val="18"/>
                <w:szCs w:val="18"/>
              </w:rPr>
            </w:pPr>
            <w:r>
              <w:rPr>
                <w:rFonts w:hint="eastAsia" w:ascii="宋体" w:hAnsi="宋体" w:eastAsia="宋体" w:cs="宋体"/>
                <w:sz w:val="18"/>
                <w:szCs w:val="18"/>
              </w:rPr>
              <w:t>全年预算数（A）</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717"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432" w:type="dxa"/>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2192" w:type="dxa"/>
            <w:gridSpan w:val="3"/>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c>
          <w:tcPr>
            <w:tcW w:w="1717" w:type="dxa"/>
            <w:gridSpan w:val="2"/>
            <w:tcBorders>
              <w:top w:val="single" w:color="auto" w:sz="4" w:space="0"/>
              <w:left w:val="single" w:color="auto" w:sz="4" w:space="0"/>
              <w:bottom w:val="single" w:color="auto" w:sz="4" w:space="0"/>
              <w:right w:val="single" w:color="auto" w:sz="4" w:space="0"/>
            </w:tcBorders>
          </w:tcPr>
          <w:p>
            <w:pPr>
              <w:spacing w:line="50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32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32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394"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909" w:type="dxa"/>
            <w:gridSpan w:val="5"/>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39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r>
              <w:rPr>
                <w:rFonts w:hint="eastAsia" w:ascii="宋体" w:hAnsi="宋体" w:eastAsia="宋体" w:cs="宋体"/>
                <w:sz w:val="18"/>
                <w:szCs w:val="18"/>
              </w:rPr>
              <w:t xml:space="preserve"> </w:t>
            </w:r>
          </w:p>
          <w:p>
            <w:pPr>
              <w:spacing w:line="320" w:lineRule="exact"/>
              <w:rPr>
                <w:rFonts w:hint="eastAsia" w:ascii="宋体" w:hAnsi="宋体" w:eastAsia="宋体" w:cs="宋体"/>
                <w:sz w:val="18"/>
                <w:szCs w:val="18"/>
              </w:rPr>
            </w:pPr>
          </w:p>
        </w:tc>
        <w:tc>
          <w:tcPr>
            <w:tcW w:w="3909" w:type="dxa"/>
            <w:gridSpan w:val="5"/>
            <w:tcBorders>
              <w:top w:val="single" w:color="auto" w:sz="4" w:space="0"/>
              <w:left w:val="single" w:color="auto" w:sz="4" w:space="0"/>
              <w:bottom w:val="single" w:color="auto" w:sz="4" w:space="0"/>
              <w:right w:val="single" w:color="auto" w:sz="4" w:space="0"/>
            </w:tcBorders>
          </w:tcPr>
          <w:p>
            <w:pPr>
              <w:spacing w:line="320" w:lineRule="exact"/>
              <w:ind w:firstLine="176" w:firstLineChars="10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绩</w:t>
            </w:r>
          </w:p>
          <w:p>
            <w:pPr>
              <w:spacing w:line="360" w:lineRule="exact"/>
              <w:rPr>
                <w:rFonts w:hint="eastAsia" w:ascii="宋体" w:hAnsi="宋体" w:eastAsia="宋体" w:cs="宋体"/>
                <w:sz w:val="18"/>
                <w:szCs w:val="18"/>
              </w:rPr>
            </w:pPr>
            <w:r>
              <w:rPr>
                <w:rFonts w:hint="eastAsia" w:ascii="宋体" w:hAnsi="宋体" w:eastAsia="宋体" w:cs="宋体"/>
                <w:sz w:val="18"/>
                <w:szCs w:val="18"/>
              </w:rPr>
              <w:t>效</w:t>
            </w:r>
          </w:p>
          <w:p>
            <w:pPr>
              <w:spacing w:line="360" w:lineRule="exact"/>
              <w:rPr>
                <w:rFonts w:hint="eastAsia" w:ascii="宋体" w:hAnsi="宋体" w:eastAsia="宋体" w:cs="宋体"/>
                <w:sz w:val="18"/>
                <w:szCs w:val="18"/>
              </w:rPr>
            </w:pPr>
            <w:r>
              <w:rPr>
                <w:rFonts w:hint="eastAsia" w:ascii="宋体" w:hAnsi="宋体" w:eastAsia="宋体" w:cs="宋体"/>
                <w:sz w:val="18"/>
                <w:szCs w:val="18"/>
              </w:rPr>
              <w:t>指</w:t>
            </w:r>
          </w:p>
          <w:p>
            <w:pPr>
              <w:spacing w:line="360" w:lineRule="exact"/>
              <w:rPr>
                <w:rFonts w:hint="eastAsia" w:ascii="宋体" w:hAnsi="宋体" w:eastAsia="宋体" w:cs="宋体"/>
                <w:sz w:val="18"/>
                <w:szCs w:val="18"/>
              </w:rPr>
            </w:pPr>
            <w:r>
              <w:rPr>
                <w:rFonts w:hint="eastAsia" w:ascii="宋体" w:hAnsi="宋体" w:eastAsia="宋体" w:cs="宋体"/>
                <w:sz w:val="18"/>
                <w:szCs w:val="18"/>
              </w:rPr>
              <w:t>标</w:t>
            </w: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54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41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产出</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数量指标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质量指标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社会效益</w:t>
            </w:r>
          </w:p>
          <w:p>
            <w:pPr>
              <w:spacing w:line="3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18"/>
                <w:szCs w:val="18"/>
              </w:rPr>
            </w:pPr>
            <w:r>
              <w:rPr>
                <w:rFonts w:hint="eastAsia" w:ascii="宋体" w:hAnsi="宋体" w:eastAsia="宋体" w:cs="宋体"/>
                <w:sz w:val="18"/>
                <w:szCs w:val="18"/>
              </w:rPr>
              <w:t>服务对象满意度指标</w:t>
            </w:r>
          </w:p>
        </w:tc>
        <w:tc>
          <w:tcPr>
            <w:tcW w:w="2546"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415" w:type="dxa"/>
            <w:gridSpan w:val="2"/>
            <w:tcBorders>
              <w:top w:val="single" w:color="auto" w:sz="4" w:space="0"/>
              <w:left w:val="single" w:color="auto" w:sz="4" w:space="0"/>
              <w:bottom w:val="single" w:color="auto" w:sz="4" w:space="0"/>
              <w:right w:val="single" w:color="auto" w:sz="4" w:space="0"/>
            </w:tcBorders>
          </w:tcPr>
          <w:p>
            <w:pPr>
              <w:spacing w:line="36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 xml:space="preserve"> </w:t>
            </w:r>
          </w:p>
        </w:tc>
        <w:tc>
          <w:tcPr>
            <w:tcW w:w="1295"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13"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303"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4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400" w:lineRule="exact"/>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400" w:lineRule="exact"/>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县级预算（项目）绩效目标自评表</w:t>
      </w:r>
    </w:p>
    <w:p>
      <w:pPr>
        <w:spacing w:line="5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jc w:val="center"/>
        <w:rPr>
          <w:rFonts w:hint="eastAsia" w:ascii="宋体" w:hAnsi="宋体" w:eastAsia="宋体" w:cs="宋体"/>
          <w:sz w:val="30"/>
          <w:szCs w:val="30"/>
        </w:rPr>
      </w:pPr>
    </w:p>
    <w:tbl>
      <w:tblPr>
        <w:tblStyle w:val="9"/>
        <w:tblW w:w="8868"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781"/>
        <w:gridCol w:w="375"/>
        <w:gridCol w:w="825"/>
        <w:gridCol w:w="1114"/>
        <w:gridCol w:w="1551"/>
        <w:gridCol w:w="1111"/>
        <w:gridCol w:w="184"/>
        <w:gridCol w:w="777"/>
        <w:gridCol w:w="373"/>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专项（项目）名称</w:t>
            </w:r>
          </w:p>
        </w:tc>
        <w:tc>
          <w:tcPr>
            <w:tcW w:w="7135" w:type="dxa"/>
            <w:gridSpan w:val="8"/>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 xml:space="preserve">通用项目——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1736"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县级主管部门</w:t>
            </w:r>
          </w:p>
        </w:tc>
        <w:tc>
          <w:tcPr>
            <w:tcW w:w="3491" w:type="dxa"/>
            <w:gridSpan w:val="3"/>
            <w:tcBorders>
              <w:top w:val="single" w:color="auto" w:sz="4" w:space="0"/>
              <w:left w:val="single" w:color="auto" w:sz="4" w:space="0"/>
              <w:bottom w:val="single" w:color="auto" w:sz="4" w:space="0"/>
              <w:right w:val="single" w:color="auto" w:sz="4" w:space="0"/>
            </w:tcBorders>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c>
          <w:tcPr>
            <w:tcW w:w="1111"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实施单位</w:t>
            </w:r>
          </w:p>
        </w:tc>
        <w:tc>
          <w:tcPr>
            <w:tcW w:w="2533"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6"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项目资金（万元）</w:t>
            </w: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全年预算数（A）</w:t>
            </w:r>
          </w:p>
        </w:tc>
        <w:tc>
          <w:tcPr>
            <w:tcW w:w="2072"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全年执行数（B）</w:t>
            </w:r>
          </w:p>
        </w:tc>
        <w:tc>
          <w:tcPr>
            <w:tcW w:w="1572"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年度资金总额：</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其中：省级财政资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市县财政资</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939"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r>
              <w:rPr>
                <w:rFonts w:hint="eastAsia" w:ascii="宋体" w:hAnsi="宋体" w:eastAsia="宋体" w:cs="宋体"/>
                <w:sz w:val="18"/>
                <w:szCs w:val="18"/>
              </w:rPr>
              <w:t>其他资金</w:t>
            </w:r>
          </w:p>
        </w:tc>
        <w:tc>
          <w:tcPr>
            <w:tcW w:w="1552" w:type="dxa"/>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2072" w:type="dxa"/>
            <w:gridSpan w:val="3"/>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c>
          <w:tcPr>
            <w:tcW w:w="1572" w:type="dxa"/>
            <w:gridSpan w:val="2"/>
            <w:tcBorders>
              <w:top w:val="single" w:color="auto" w:sz="4" w:space="0"/>
              <w:left w:val="single" w:color="auto" w:sz="4" w:space="0"/>
              <w:bottom w:val="single" w:color="auto" w:sz="4" w:space="0"/>
              <w:right w:val="single" w:color="auto" w:sz="4" w:space="0"/>
            </w:tcBorders>
          </w:tcPr>
          <w:p>
            <w:pPr>
              <w:spacing w:line="24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w:t>
            </w:r>
          </w:p>
          <w:p>
            <w:pPr>
              <w:spacing w:line="240" w:lineRule="exact"/>
              <w:rPr>
                <w:rFonts w:hint="eastAsia" w:ascii="宋体" w:hAnsi="宋体" w:eastAsia="宋体" w:cs="宋体"/>
                <w:sz w:val="18"/>
                <w:szCs w:val="18"/>
              </w:rPr>
            </w:pPr>
            <w:r>
              <w:rPr>
                <w:rFonts w:hint="eastAsia" w:ascii="宋体" w:hAnsi="宋体" w:eastAsia="宋体" w:cs="宋体"/>
                <w:sz w:val="18"/>
                <w:szCs w:val="18"/>
              </w:rPr>
              <w:t>总体</w:t>
            </w:r>
          </w:p>
          <w:p>
            <w:pPr>
              <w:spacing w:line="240" w:lineRule="exact"/>
              <w:rPr>
                <w:rFonts w:hint="eastAsia" w:ascii="宋体" w:hAnsi="宋体" w:eastAsia="宋体" w:cs="宋体"/>
                <w:sz w:val="18"/>
                <w:szCs w:val="18"/>
              </w:rPr>
            </w:pPr>
            <w:r>
              <w:rPr>
                <w:rFonts w:hint="eastAsia" w:ascii="宋体" w:hAnsi="宋体" w:eastAsia="宋体" w:cs="宋体"/>
                <w:sz w:val="18"/>
                <w:szCs w:val="18"/>
              </w:rPr>
              <w:t>目标</w:t>
            </w:r>
          </w:p>
        </w:tc>
        <w:tc>
          <w:tcPr>
            <w:tcW w:w="4648"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年初设定目标</w:t>
            </w:r>
          </w:p>
        </w:tc>
        <w:tc>
          <w:tcPr>
            <w:tcW w:w="3644"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4648"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c>
          <w:tcPr>
            <w:tcW w:w="3644" w:type="dxa"/>
            <w:gridSpan w:val="5"/>
            <w:tcBorders>
              <w:top w:val="single" w:color="auto" w:sz="4" w:space="0"/>
              <w:left w:val="single" w:color="auto" w:sz="4" w:space="0"/>
              <w:bottom w:val="single" w:color="auto" w:sz="4" w:space="0"/>
              <w:right w:val="single" w:color="auto" w:sz="4" w:space="0"/>
            </w:tcBorders>
          </w:tcPr>
          <w:p>
            <w:pPr>
              <w:spacing w:line="32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57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绩</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效</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指</w:t>
            </w:r>
          </w:p>
          <w:p>
            <w:pPr>
              <w:spacing w:line="240" w:lineRule="exact"/>
              <w:jc w:val="center"/>
              <w:rPr>
                <w:rFonts w:hint="eastAsia" w:ascii="宋体" w:hAnsi="宋体" w:eastAsia="宋体" w:cs="宋体"/>
                <w:sz w:val="18"/>
                <w:szCs w:val="18"/>
              </w:rPr>
            </w:pPr>
            <w:r>
              <w:rPr>
                <w:rFonts w:hint="eastAsia" w:ascii="宋体" w:hAnsi="宋体" w:eastAsia="宋体" w:cs="宋体"/>
                <w:sz w:val="18"/>
                <w:szCs w:val="18"/>
              </w:rPr>
              <w:t>标</w:t>
            </w:r>
          </w:p>
        </w:tc>
        <w:tc>
          <w:tcPr>
            <w:tcW w:w="7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一级</w:t>
            </w:r>
          </w:p>
          <w:p>
            <w:pPr>
              <w:spacing w:line="24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二级指标</w:t>
            </w:r>
          </w:p>
        </w:tc>
        <w:tc>
          <w:tcPr>
            <w:tcW w:w="2666"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三级指标</w:t>
            </w:r>
          </w:p>
        </w:tc>
        <w:tc>
          <w:tcPr>
            <w:tcW w:w="129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年度指标值</w:t>
            </w:r>
          </w:p>
        </w:tc>
        <w:tc>
          <w:tcPr>
            <w:tcW w:w="11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全年完成值</w:t>
            </w:r>
          </w:p>
        </w:tc>
        <w:tc>
          <w:tcPr>
            <w:tcW w:w="11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8"/>
                <w:szCs w:val="18"/>
              </w:rPr>
            </w:pPr>
            <w:r>
              <w:rPr>
                <w:rFonts w:hint="eastAsia" w:ascii="宋体" w:hAnsi="宋体" w:eastAsia="宋体" w:cs="宋体"/>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产出</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数量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jc w:val="righ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质量</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时效指标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成本指标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color w:val="FF0000"/>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指标3：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指标4：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指标5：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指标6：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vMerge w:val="restart"/>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效益</w:t>
            </w:r>
          </w:p>
          <w:p>
            <w:pPr>
              <w:spacing w:line="260" w:lineRule="exact"/>
              <w:rPr>
                <w:rFonts w:hint="eastAsia" w:ascii="宋体" w:hAnsi="宋体" w:eastAsia="宋体" w:cs="宋体"/>
                <w:sz w:val="18"/>
                <w:szCs w:val="18"/>
              </w:rPr>
            </w:pPr>
            <w:r>
              <w:rPr>
                <w:rFonts w:hint="eastAsia" w:ascii="宋体" w:hAnsi="宋体" w:eastAsia="宋体" w:cs="宋体"/>
                <w:sz w:val="18"/>
                <w:szCs w:val="18"/>
              </w:rPr>
              <w:t>指标</w:t>
            </w:r>
          </w:p>
        </w:tc>
        <w:tc>
          <w:tcPr>
            <w:tcW w:w="1200"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社会效益</w:t>
            </w:r>
          </w:p>
          <w:p>
            <w:pPr>
              <w:spacing w:line="260" w:lineRule="exact"/>
              <w:jc w:val="center"/>
              <w:rPr>
                <w:rFonts w:hint="eastAsia" w:ascii="宋体" w:hAnsi="宋体" w:eastAsia="宋体" w:cs="宋体"/>
                <w:sz w:val="18"/>
                <w:szCs w:val="18"/>
              </w:rPr>
            </w:pPr>
            <w:r>
              <w:rPr>
                <w:rFonts w:hint="eastAsia" w:ascii="宋体" w:hAnsi="宋体" w:eastAsia="宋体" w:cs="宋体"/>
                <w:sz w:val="18"/>
                <w:szCs w:val="18"/>
              </w:rPr>
              <w:t>指标</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 </w:t>
            </w: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指标2：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可持续影</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8"/>
                <w:szCs w:val="18"/>
              </w:rPr>
            </w:pPr>
          </w:p>
        </w:tc>
        <w:tc>
          <w:tcPr>
            <w:tcW w:w="782"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满意度指标</w:t>
            </w:r>
          </w:p>
        </w:tc>
        <w:tc>
          <w:tcPr>
            <w:tcW w:w="1200"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服务对象</w:t>
            </w:r>
          </w:p>
        </w:tc>
        <w:tc>
          <w:tcPr>
            <w:tcW w:w="2666"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r>
              <w:rPr>
                <w:rFonts w:hint="eastAsia" w:ascii="宋体" w:hAnsi="宋体" w:eastAsia="宋体" w:cs="宋体"/>
                <w:sz w:val="18"/>
                <w:szCs w:val="18"/>
              </w:rPr>
              <w:t xml:space="preserve">指标1：  </w:t>
            </w:r>
          </w:p>
        </w:tc>
        <w:tc>
          <w:tcPr>
            <w:tcW w:w="1295"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50" w:type="dxa"/>
            <w:gridSpan w:val="2"/>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c>
          <w:tcPr>
            <w:tcW w:w="1199" w:type="dxa"/>
            <w:tcBorders>
              <w:top w:val="single" w:color="auto" w:sz="4" w:space="0"/>
              <w:left w:val="single" w:color="auto" w:sz="4" w:space="0"/>
              <w:bottom w:val="single" w:color="auto" w:sz="4" w:space="0"/>
              <w:right w:val="single" w:color="auto" w:sz="4" w:space="0"/>
            </w:tcBorders>
          </w:tcPr>
          <w:p>
            <w:pPr>
              <w:spacing w:line="260" w:lineRule="exac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hint="eastAsia" w:ascii="宋体" w:hAnsi="宋体" w:eastAsia="宋体" w:cs="宋体"/>
                <w:sz w:val="18"/>
                <w:szCs w:val="18"/>
              </w:rPr>
            </w:pPr>
            <w:r>
              <w:rPr>
                <w:rFonts w:hint="eastAsia" w:ascii="宋体" w:hAnsi="宋体" w:eastAsia="宋体" w:cs="宋体"/>
                <w:sz w:val="18"/>
                <w:szCs w:val="18"/>
              </w:rPr>
              <w:t>说明</w:t>
            </w:r>
          </w:p>
        </w:tc>
        <w:tc>
          <w:tcPr>
            <w:tcW w:w="8292" w:type="dxa"/>
            <w:gridSpan w:val="10"/>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ascii="宋体" w:hAnsi="宋体" w:eastAsia="宋体" w:cs="宋体"/>
                <w:sz w:val="18"/>
                <w:szCs w:val="18"/>
              </w:rPr>
            </w:pPr>
            <w:r>
              <w:rPr>
                <w:rFonts w:hint="eastAsia" w:ascii="宋体" w:hAnsi="宋体" w:eastAsia="宋体" w:cs="宋体"/>
                <w:sz w:val="18"/>
                <w:szCs w:val="18"/>
              </w:rPr>
              <w:t>请在此处简要说明各级审计和财政监督检查中发现的问题及所涉及的金额，如没有请填无。</w:t>
            </w:r>
          </w:p>
        </w:tc>
      </w:tr>
    </w:tbl>
    <w:p>
      <w:pPr>
        <w:spacing w:line="200" w:lineRule="exact"/>
        <w:rPr>
          <w:rFonts w:hint="eastAsia" w:ascii="宋体" w:hAnsi="宋体" w:eastAsia="宋体" w:cs="宋体"/>
          <w:sz w:val="18"/>
          <w:szCs w:val="18"/>
        </w:rPr>
      </w:pPr>
      <w:r>
        <w:rPr>
          <w:rFonts w:hint="eastAsia" w:ascii="宋体" w:hAnsi="宋体" w:eastAsia="宋体" w:cs="宋体"/>
          <w:sz w:val="18"/>
          <w:szCs w:val="18"/>
        </w:rPr>
        <w:t>注：1.其他资金包括和财政资金共同投入到同一项目的自有资金、社会资金，以及前年度的结转结余资金等。</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2.定量指标，资金使用单位填写本地区实际完成数。财政和主管部门汇总时，对绝对值直接累加计算，相对值按照资金额度加权平均计算。</w:t>
      </w:r>
    </w:p>
    <w:p>
      <w:pPr>
        <w:spacing w:line="200" w:lineRule="exact"/>
        <w:ind w:firstLine="352" w:firstLineChars="200"/>
        <w:rPr>
          <w:rFonts w:hint="eastAsia" w:ascii="宋体" w:hAnsi="宋体" w:eastAsia="宋体" w:cs="宋体"/>
          <w:sz w:val="18"/>
          <w:szCs w:val="18"/>
        </w:rPr>
      </w:pPr>
      <w:r>
        <w:rPr>
          <w:rFonts w:hint="eastAsia" w:ascii="宋体" w:hAnsi="宋体" w:eastAsia="宋体" w:cs="宋体"/>
          <w:sz w:val="18"/>
          <w:szCs w:val="18"/>
        </w:rPr>
        <w:t>3.定性指标根据指标完成情况分为：全部或基本达成预期指标、部分达成预期指标并具有一定效果、未达成预期指标 效果较差三档，分别按照100%—80%（含）、80%-60%（含）、60-0%合理填写完成比例。</w:t>
      </w:r>
    </w:p>
    <w:p>
      <w:pPr>
        <w:widowControl/>
        <w:jc w:val="left"/>
        <w:rPr>
          <w:rFonts w:hint="eastAsia" w:ascii="宋体" w:hAnsi="宋体" w:eastAsia="宋体" w:cs="宋体"/>
          <w:sz w:val="18"/>
          <w:szCs w:val="18"/>
        </w:rPr>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701" w:left="1587" w:header="851" w:footer="1712" w:gutter="0"/>
          <w:cols w:space="0" w:num="1"/>
          <w:rtlGutter w:val="0"/>
          <w:docGrid w:type="linesAndChars" w:linePitch="579" w:charSpace="-849"/>
        </w:sectPr>
      </w:pP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部门整体支出绩效自评表</w:t>
      </w:r>
    </w:p>
    <w:p>
      <w:pPr>
        <w:spacing w:line="300" w:lineRule="exact"/>
        <w:jc w:val="center"/>
        <w:rPr>
          <w:rFonts w:hint="eastAsia" w:ascii="宋体" w:hAnsi="宋体" w:eastAsia="宋体" w:cs="宋体"/>
          <w:sz w:val="30"/>
          <w:szCs w:val="30"/>
        </w:rPr>
      </w:pPr>
      <w:r>
        <w:rPr>
          <w:rFonts w:hint="eastAsia" w:ascii="宋体" w:hAnsi="宋体" w:eastAsia="宋体" w:cs="宋体"/>
          <w:sz w:val="30"/>
          <w:szCs w:val="30"/>
        </w:rPr>
        <w:t>（2020年度）</w:t>
      </w:r>
    </w:p>
    <w:p>
      <w:pPr>
        <w:spacing w:line="300" w:lineRule="exact"/>
        <w:rPr>
          <w:rFonts w:hint="eastAsia" w:ascii="宋体" w:hAnsi="宋体" w:eastAsia="宋体" w:cs="宋体"/>
          <w:sz w:val="18"/>
          <w:szCs w:val="18"/>
        </w:rPr>
      </w:pPr>
      <w:r>
        <w:rPr>
          <w:rFonts w:hint="eastAsia" w:ascii="宋体" w:hAnsi="宋体" w:eastAsia="宋体" w:cs="宋体"/>
          <w:sz w:val="18"/>
          <w:szCs w:val="18"/>
        </w:rPr>
        <w:t>填报单位：镇安县招商服务中心                                                                                                         自评得分：91</w:t>
      </w:r>
    </w:p>
    <w:tbl>
      <w:tblPr>
        <w:tblStyle w:val="9"/>
        <w:tblW w:w="14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9"/>
        <w:gridCol w:w="707"/>
        <w:gridCol w:w="752"/>
        <w:gridCol w:w="460"/>
        <w:gridCol w:w="3315"/>
        <w:gridCol w:w="3462"/>
        <w:gridCol w:w="1114"/>
        <w:gridCol w:w="734"/>
        <w:gridCol w:w="774"/>
        <w:gridCol w:w="455"/>
        <w:gridCol w:w="1418"/>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16"/>
                <w:szCs w:val="16"/>
              </w:rPr>
            </w:pPr>
            <w:r>
              <w:rPr>
                <w:rFonts w:hint="eastAsia" w:ascii="宋体" w:hAnsi="宋体" w:eastAsia="宋体" w:cs="宋体"/>
                <w:sz w:val="16"/>
                <w:szCs w:val="16"/>
              </w:rPr>
              <w:t>（一）简要概述部门职能与职责</w:t>
            </w:r>
          </w:p>
        </w:tc>
        <w:tc>
          <w:tcPr>
            <w:tcW w:w="862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16"/>
                <w:szCs w:val="16"/>
              </w:rPr>
            </w:pPr>
            <w:r>
              <w:rPr>
                <w:rFonts w:hint="eastAsia" w:ascii="宋体" w:hAnsi="宋体" w:eastAsia="宋体" w:cs="宋体"/>
                <w:sz w:val="16"/>
                <w:szCs w:val="16"/>
              </w:rPr>
              <w:t>按照国际、省、市招商引资工作的法律法规规章和政策，研究制定和完善我县招商引资相关政策措施并组织实施；负责制定全县招商引资发展规划、年度计划并组织实施。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16"/>
                <w:szCs w:val="16"/>
              </w:rPr>
            </w:pPr>
            <w:r>
              <w:rPr>
                <w:rFonts w:hint="eastAsia" w:ascii="宋体" w:hAnsi="宋体" w:eastAsia="宋体" w:cs="宋体"/>
                <w:sz w:val="16"/>
                <w:szCs w:val="16"/>
              </w:rPr>
              <w:t>（二）简要概述部门支出情况，按活动内容分类</w:t>
            </w:r>
          </w:p>
        </w:tc>
        <w:tc>
          <w:tcPr>
            <w:tcW w:w="862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16"/>
                <w:szCs w:val="16"/>
              </w:rPr>
            </w:pPr>
            <w:r>
              <w:rPr>
                <w:rFonts w:hint="eastAsia" w:ascii="宋体" w:hAnsi="宋体" w:eastAsia="宋体" w:cs="宋体"/>
                <w:sz w:val="16"/>
                <w:szCs w:val="16"/>
              </w:rPr>
              <w:t>日常业务、招商引资、精准扶贫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5793"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16"/>
                <w:szCs w:val="16"/>
              </w:rPr>
            </w:pPr>
            <w:r>
              <w:rPr>
                <w:rFonts w:hint="eastAsia" w:ascii="宋体" w:hAnsi="宋体" w:eastAsia="宋体" w:cs="宋体"/>
                <w:sz w:val="16"/>
                <w:szCs w:val="16"/>
              </w:rPr>
              <w:t>（三）简要概述当年县委县政府下达的重点工作</w:t>
            </w:r>
          </w:p>
        </w:tc>
        <w:tc>
          <w:tcPr>
            <w:tcW w:w="8620"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both"/>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指标说明</w:t>
            </w:r>
          </w:p>
        </w:tc>
        <w:tc>
          <w:tcPr>
            <w:tcW w:w="3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得分</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未完成原因分析</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与改进措施</w:t>
            </w: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预算完成率（10分）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预算完成率=（预算完成数/预算数）×100%，用以反映和考核部门（单位）预算完成程度。</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预算完成数：部门（单位）本年度</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预算数：财政部门批复的本年度部门（单位）预算数。</w:t>
            </w:r>
          </w:p>
        </w:tc>
        <w:tc>
          <w:tcPr>
            <w:tcW w:w="34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预算完成率=100%，得10分。</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预算完成率≧95%的，得9分。</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预算完成率在90%（含 ）和95%之间，得8分。</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预算完成率在85%（含）和90%之间，得7分。</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预算完成率在80%（含）和85%之间，得6分。</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预算完成率在70%（含）和80%之间，得4分。</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预算完成率在〈70%，得0分。</w:t>
            </w:r>
          </w:p>
        </w:tc>
        <w:tc>
          <w:tcPr>
            <w:tcW w:w="11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94.46</w:t>
            </w:r>
          </w:p>
        </w:tc>
        <w:tc>
          <w:tcPr>
            <w:tcW w:w="4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10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4"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预算调整率（5分）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pacing w:val="-6"/>
                <w:sz w:val="16"/>
                <w:szCs w:val="16"/>
              </w:rPr>
            </w:pPr>
            <w:r>
              <w:rPr>
                <w:rFonts w:hint="eastAsia" w:ascii="宋体" w:hAnsi="宋体" w:eastAsia="宋体" w:cs="宋体"/>
                <w:sz w:val="16"/>
                <w:szCs w:val="16"/>
              </w:rPr>
              <w:t>预算调整率</w:t>
            </w:r>
            <w:r>
              <w:rPr>
                <w:rFonts w:hint="eastAsia" w:ascii="宋体" w:hAnsi="宋体" w:eastAsia="宋体" w:cs="宋体"/>
                <w:spacing w:val="-6"/>
                <w:sz w:val="16"/>
                <w:szCs w:val="16"/>
              </w:rPr>
              <w:t>=(预算调整数/预算数)×100%，用以反映和考核部门(单位)预算的调整程度。</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预算调整数：部门（单位）在本年度内涉及预算的追加、追减或结构调整的资金总和（因落实国家政策、发生不可抗力、上级部门或本级党委政府临时交办而产生的调整除外）。</w:t>
            </w:r>
          </w:p>
          <w:p>
            <w:pPr>
              <w:spacing w:line="240" w:lineRule="exact"/>
              <w:rPr>
                <w:rFonts w:hint="eastAsia" w:ascii="宋体" w:hAnsi="宋体" w:eastAsia="宋体" w:cs="宋体"/>
                <w:sz w:val="16"/>
                <w:szCs w:val="16"/>
              </w:rPr>
            </w:pPr>
            <w:r>
              <w:rPr>
                <w:rFonts w:hint="eastAsia" w:ascii="宋体" w:hAnsi="宋体" w:eastAsia="宋体" w:cs="宋体"/>
                <w:sz w:val="16"/>
                <w:szCs w:val="16"/>
              </w:rPr>
              <w:t>预算包括一般公共预算与政府性基金预算。</w:t>
            </w:r>
          </w:p>
        </w:tc>
        <w:tc>
          <w:tcPr>
            <w:tcW w:w="346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宋体" w:hAnsi="宋体" w:eastAsia="宋体" w:cs="宋体"/>
                <w:sz w:val="16"/>
                <w:szCs w:val="16"/>
              </w:rPr>
            </w:pPr>
            <w:r>
              <w:rPr>
                <w:rFonts w:hint="eastAsia" w:ascii="宋体" w:hAnsi="宋体" w:eastAsia="宋体" w:cs="宋体"/>
                <w:sz w:val="16"/>
                <w:szCs w:val="16"/>
              </w:rPr>
              <w:t>预算调整率绝对值≦5%,得5分。预算调整率绝对值〉5%的，每增加0.1个百分点扣0.1分，扣完为止。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80.79</w:t>
            </w:r>
          </w:p>
        </w:tc>
        <w:tc>
          <w:tcPr>
            <w:tcW w:w="4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r>
              <w:rPr>
                <w:rFonts w:hint="eastAsia" w:ascii="宋体" w:hAnsi="宋体" w:eastAsia="宋体" w:cs="宋体"/>
                <w:sz w:val="16"/>
                <w:szCs w:val="16"/>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指标说明</w:t>
            </w:r>
          </w:p>
        </w:tc>
        <w:tc>
          <w:tcPr>
            <w:tcW w:w="3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得分</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未完成原因分析</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与改进措施</w:t>
            </w: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9"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投入</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预算执行(25分)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支出进度率（5分）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支出进度率=（实际支出/支出预算）×100%，用以反映和考核部门（单位）预算执行的及时性和均衡性程度。</w:t>
            </w:r>
          </w:p>
          <w:p>
            <w:pPr>
              <w:spacing w:line="320" w:lineRule="exact"/>
              <w:rPr>
                <w:rFonts w:hint="eastAsia" w:ascii="宋体" w:hAnsi="宋体" w:eastAsia="宋体" w:cs="宋体"/>
                <w:sz w:val="16"/>
                <w:szCs w:val="16"/>
              </w:rPr>
            </w:pPr>
            <w:r>
              <w:rPr>
                <w:rFonts w:hint="eastAsia" w:ascii="宋体" w:hAnsi="宋体" w:eastAsia="宋体" w:cs="宋体"/>
                <w:sz w:val="16"/>
                <w:szCs w:val="16"/>
              </w:rPr>
              <w:t>半年支出进度=部门上半年实际支出/（上年结余结转+本年部门预算安排+上半年执行中追加追减）*100%。</w:t>
            </w:r>
          </w:p>
          <w:p>
            <w:pPr>
              <w:spacing w:line="320" w:lineRule="exact"/>
              <w:rPr>
                <w:rFonts w:hint="eastAsia" w:ascii="宋体" w:hAnsi="宋体" w:eastAsia="宋体" w:cs="宋体"/>
                <w:sz w:val="16"/>
                <w:szCs w:val="16"/>
              </w:rPr>
            </w:pPr>
            <w:r>
              <w:rPr>
                <w:rFonts w:hint="eastAsia" w:ascii="宋体" w:hAnsi="宋体" w:eastAsia="宋体" w:cs="宋体"/>
                <w:sz w:val="16"/>
                <w:szCs w:val="16"/>
              </w:rPr>
              <w:t>前三季度支出进度=部门前三季度实际支出/（上年结余结转+本年部门预算安排+前三季度执行中追加追减）*100%。</w:t>
            </w:r>
          </w:p>
        </w:tc>
        <w:tc>
          <w:tcPr>
            <w:tcW w:w="346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半年进度：进度率≧45%，得2分；进度率在40%（含）和45%之间，得1分；进度率〈40%，得0分。</w:t>
            </w:r>
          </w:p>
          <w:p>
            <w:pPr>
              <w:spacing w:line="320" w:lineRule="exact"/>
              <w:rPr>
                <w:rFonts w:hint="eastAsia" w:ascii="宋体" w:hAnsi="宋体" w:eastAsia="宋体" w:cs="宋体"/>
                <w:sz w:val="16"/>
                <w:szCs w:val="16"/>
              </w:rPr>
            </w:pPr>
            <w:r>
              <w:rPr>
                <w:rFonts w:hint="eastAsia" w:ascii="宋体" w:hAnsi="宋体" w:eastAsia="宋体" w:cs="宋体"/>
                <w:sz w:val="16"/>
                <w:szCs w:val="16"/>
              </w:rPr>
              <w:t>前三季度进度：进度率≧75%，得3分；进度率在60%（含）和75%之间，得2分；进度率〈60%，得0分。</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集中支付</w:t>
            </w:r>
          </w:p>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系统</w:t>
            </w:r>
          </w:p>
        </w:tc>
        <w:tc>
          <w:tcPr>
            <w:tcW w:w="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半年完成，前三季度完成</w:t>
            </w:r>
          </w:p>
        </w:tc>
        <w:tc>
          <w:tcPr>
            <w:tcW w:w="4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预算编制准确率（5分）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部门预算中除财政拨款外的其他收入预算与决算差异率。</w:t>
            </w:r>
          </w:p>
          <w:p>
            <w:pPr>
              <w:spacing w:line="320" w:lineRule="exact"/>
              <w:rPr>
                <w:rFonts w:hint="eastAsia" w:ascii="宋体" w:hAnsi="宋体" w:eastAsia="宋体" w:cs="宋体"/>
                <w:sz w:val="16"/>
                <w:szCs w:val="16"/>
              </w:rPr>
            </w:pPr>
            <w:r>
              <w:rPr>
                <w:rFonts w:hint="eastAsia" w:ascii="宋体" w:hAnsi="宋体" w:eastAsia="宋体" w:cs="宋体"/>
                <w:sz w:val="16"/>
                <w:szCs w:val="16"/>
              </w:rPr>
              <w:t>预算编制准确率=其他收入决算数/其他收入预算数×100%-100%。</w:t>
            </w:r>
          </w:p>
        </w:tc>
        <w:tc>
          <w:tcPr>
            <w:tcW w:w="346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预算编制准确率≦20%，得5分。预算编制准确率在20%和40%（含）之间，得3分。</w:t>
            </w:r>
          </w:p>
          <w:p>
            <w:pPr>
              <w:spacing w:line="320" w:lineRule="exact"/>
              <w:rPr>
                <w:rFonts w:hint="eastAsia" w:ascii="宋体" w:hAnsi="宋体" w:eastAsia="宋体" w:cs="宋体"/>
                <w:sz w:val="16"/>
                <w:szCs w:val="16"/>
              </w:rPr>
            </w:pPr>
            <w:r>
              <w:rPr>
                <w:rFonts w:hint="eastAsia" w:ascii="宋体" w:hAnsi="宋体" w:eastAsia="宋体" w:cs="宋体"/>
                <w:sz w:val="16"/>
                <w:szCs w:val="16"/>
              </w:rPr>
              <w:t>预算编制准确率〉40%，得0分。</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预算公开</w:t>
            </w:r>
          </w:p>
        </w:tc>
        <w:tc>
          <w:tcPr>
            <w:tcW w:w="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0</w:t>
            </w:r>
          </w:p>
        </w:tc>
        <w:tc>
          <w:tcPr>
            <w:tcW w:w="4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过程</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“三公经费”控制率（5分）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“三公经费”控制率=（“三公经费”实际支出数/“三公经费”预算安排数）×100%，用以反映和考核部门（单位）对“三公经费”的实际控制程度。</w:t>
            </w:r>
          </w:p>
        </w:tc>
        <w:tc>
          <w:tcPr>
            <w:tcW w:w="346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三公经费控制率≦100%，得5分，每增加0.1个百分点扣0.5分，扣完为止。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决算批复</w:t>
            </w:r>
          </w:p>
        </w:tc>
        <w:tc>
          <w:tcPr>
            <w:tcW w:w="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0</w:t>
            </w:r>
          </w:p>
        </w:tc>
        <w:tc>
          <w:tcPr>
            <w:tcW w:w="4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资产管理规范性（5分）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部门（单位）资产管理是否规范，用以反映和考核部门（单位）资产管理情况。</w:t>
            </w:r>
          </w:p>
          <w:p>
            <w:pPr>
              <w:spacing w:line="320" w:lineRule="exact"/>
              <w:rPr>
                <w:rFonts w:hint="eastAsia" w:ascii="宋体" w:hAnsi="宋体" w:eastAsia="宋体" w:cs="宋体"/>
                <w:sz w:val="16"/>
                <w:szCs w:val="16"/>
              </w:rPr>
            </w:pPr>
            <w:r>
              <w:rPr>
                <w:rFonts w:hint="eastAsia" w:ascii="宋体" w:hAnsi="宋体" w:eastAsia="宋体" w:cs="宋体"/>
                <w:sz w:val="16"/>
                <w:szCs w:val="16"/>
              </w:rPr>
              <w:t>1.新增资产配置按预算执行。</w:t>
            </w:r>
          </w:p>
          <w:p>
            <w:pPr>
              <w:spacing w:line="320" w:lineRule="exact"/>
              <w:rPr>
                <w:rFonts w:hint="eastAsia" w:ascii="宋体" w:hAnsi="宋体" w:eastAsia="宋体" w:cs="宋体"/>
                <w:sz w:val="16"/>
                <w:szCs w:val="16"/>
              </w:rPr>
            </w:pPr>
            <w:r>
              <w:rPr>
                <w:rFonts w:hint="eastAsia" w:ascii="宋体" w:hAnsi="宋体" w:eastAsia="宋体" w:cs="宋体"/>
                <w:sz w:val="16"/>
                <w:szCs w:val="16"/>
              </w:rPr>
              <w:t>2.资产有偿使用、处置按规定程序审批。</w:t>
            </w:r>
          </w:p>
          <w:p>
            <w:pPr>
              <w:spacing w:line="320" w:lineRule="exact"/>
              <w:rPr>
                <w:rFonts w:hint="eastAsia" w:ascii="宋体" w:hAnsi="宋体" w:eastAsia="宋体" w:cs="宋体"/>
                <w:sz w:val="16"/>
                <w:szCs w:val="16"/>
              </w:rPr>
            </w:pPr>
            <w:r>
              <w:rPr>
                <w:rFonts w:hint="eastAsia" w:ascii="宋体" w:hAnsi="宋体" w:eastAsia="宋体" w:cs="宋体"/>
                <w:sz w:val="16"/>
                <w:szCs w:val="16"/>
              </w:rPr>
              <w:t>3.资产收益及时、足额上缴财政。</w:t>
            </w:r>
          </w:p>
        </w:tc>
        <w:tc>
          <w:tcPr>
            <w:tcW w:w="3462" w:type="dxa"/>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宋体" w:hAnsi="宋体" w:eastAsia="宋体" w:cs="宋体"/>
                <w:sz w:val="16"/>
                <w:szCs w:val="16"/>
              </w:rPr>
            </w:pPr>
            <w:r>
              <w:rPr>
                <w:rFonts w:hint="eastAsia" w:ascii="宋体" w:hAnsi="宋体" w:eastAsia="宋体" w:cs="宋体"/>
                <w:sz w:val="16"/>
                <w:szCs w:val="16"/>
              </w:rPr>
              <w:t>全部符合5分，有1项不符扣2分，扣完为止。</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774"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全部符合</w:t>
            </w:r>
          </w:p>
        </w:tc>
        <w:tc>
          <w:tcPr>
            <w:tcW w:w="4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一级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二级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7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三级</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w:t>
            </w:r>
          </w:p>
        </w:tc>
        <w:tc>
          <w:tcPr>
            <w:tcW w:w="4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Cs/>
                <w:sz w:val="16"/>
                <w:szCs w:val="16"/>
              </w:rPr>
            </w:pPr>
            <w:r>
              <w:rPr>
                <w:rFonts w:hint="eastAsia" w:ascii="宋体" w:hAnsi="宋体" w:eastAsia="宋体" w:cs="宋体"/>
                <w:b/>
                <w:bCs/>
                <w:sz w:val="16"/>
                <w:szCs w:val="16"/>
              </w:rPr>
              <w:t>分</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值</w:t>
            </w:r>
          </w:p>
        </w:tc>
        <w:tc>
          <w:tcPr>
            <w:tcW w:w="33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指标说明</w:t>
            </w:r>
          </w:p>
        </w:tc>
        <w:tc>
          <w:tcPr>
            <w:tcW w:w="346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评分标准</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指标值计算公式和数据获取方式</w:t>
            </w:r>
          </w:p>
        </w:tc>
        <w:tc>
          <w:tcPr>
            <w:tcW w:w="7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年初</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目标值</w:t>
            </w:r>
          </w:p>
        </w:tc>
        <w:tc>
          <w:tcPr>
            <w:tcW w:w="7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实际</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完成值</w:t>
            </w:r>
          </w:p>
        </w:tc>
        <w:tc>
          <w:tcPr>
            <w:tcW w:w="4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得分</w:t>
            </w:r>
          </w:p>
        </w:tc>
        <w:tc>
          <w:tcPr>
            <w:tcW w:w="141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jc w:val="center"/>
              <w:textAlignment w:val="auto"/>
              <w:rPr>
                <w:rFonts w:hint="eastAsia" w:ascii="宋体" w:hAnsi="宋体" w:eastAsia="宋体" w:cs="宋体"/>
                <w:b/>
                <w:bCs/>
                <w:sz w:val="16"/>
                <w:szCs w:val="16"/>
              </w:rPr>
            </w:pPr>
            <w:r>
              <w:rPr>
                <w:rFonts w:hint="eastAsia" w:ascii="宋体" w:hAnsi="宋体" w:eastAsia="宋体" w:cs="宋体"/>
                <w:b/>
                <w:bCs/>
                <w:sz w:val="16"/>
                <w:szCs w:val="16"/>
              </w:rPr>
              <w:t>未完成原因分析</w:t>
            </w:r>
          </w:p>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与改进措施</w:t>
            </w:r>
          </w:p>
        </w:tc>
        <w:tc>
          <w:tcPr>
            <w:tcW w:w="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96" w:leftChars="-30" w:right="-96" w:rightChars="-30" w:firstLine="0" w:firstLineChars="0"/>
              <w:jc w:val="center"/>
              <w:textAlignment w:val="auto"/>
              <w:rPr>
                <w:rFonts w:hint="eastAsia" w:ascii="宋体" w:hAnsi="宋体" w:eastAsia="宋体" w:cs="宋体"/>
                <w:bCs/>
                <w:kern w:val="0"/>
                <w:sz w:val="16"/>
                <w:szCs w:val="16"/>
                <w:lang w:val="en-US" w:eastAsia="zh-CN" w:bidi="ar-SA"/>
              </w:rPr>
            </w:pPr>
            <w:r>
              <w:rPr>
                <w:rFonts w:hint="eastAsia" w:ascii="宋体" w:hAnsi="宋体" w:eastAsia="宋体" w:cs="宋体"/>
                <w:b/>
                <w:bCs/>
                <w:sz w:val="16"/>
                <w:szCs w:val="16"/>
              </w:rPr>
              <w:t>绩效指标分析与建议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过程</w:t>
            </w:r>
          </w:p>
        </w:tc>
        <w:tc>
          <w:tcPr>
            <w:tcW w:w="70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预算管理（15分）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资金使用合规性（5分）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部门（单位）使用预算资金是否符合相关的预算财务管理制度的规定，用以反映和考核部门（单位）预算资金的规范运行情况。</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1.符合国家财经法规和财务管理制度规定以及有关专项资金管理办法的规定；</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2.资金的拨付有完整的审批程序和手续；</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3.重大项目开支经过评估论证；</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4.符合部门预算批复的用途；</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5.不存</w:t>
            </w:r>
            <w:r>
              <w:rPr>
                <w:rFonts w:hint="eastAsia" w:ascii="宋体" w:hAnsi="宋体" w:eastAsia="宋体" w:cs="宋体"/>
                <w:spacing w:val="-6"/>
                <w:sz w:val="16"/>
                <w:szCs w:val="16"/>
              </w:rPr>
              <w:t>在截留、挤占、挪用、虚列支出等情况。</w:t>
            </w:r>
          </w:p>
        </w:tc>
        <w:tc>
          <w:tcPr>
            <w:tcW w:w="346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全部符合5分，有1项不符扣2分。</w:t>
            </w:r>
          </w:p>
        </w:tc>
        <w:tc>
          <w:tcPr>
            <w:tcW w:w="111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全部符合</w:t>
            </w:r>
          </w:p>
        </w:tc>
        <w:tc>
          <w:tcPr>
            <w:tcW w:w="455"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restart"/>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效果</w:t>
            </w:r>
          </w:p>
        </w:tc>
        <w:tc>
          <w:tcPr>
            <w:tcW w:w="707" w:type="dxa"/>
            <w:vMerge w:val="restart"/>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履职尽责（60分）</w:t>
            </w:r>
          </w:p>
        </w:tc>
        <w:tc>
          <w:tcPr>
            <w:tcW w:w="75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项目产出（40分）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40</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1.</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2.</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3.</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w:t>
            </w:r>
          </w:p>
        </w:tc>
        <w:tc>
          <w:tcPr>
            <w:tcW w:w="3462" w:type="dxa"/>
            <w:vMerge w:val="restart"/>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hint="eastAsia" w:ascii="宋体" w:hAnsi="宋体" w:eastAsia="宋体" w:cs="宋体"/>
                <w:spacing w:val="-6"/>
                <w:sz w:val="16"/>
                <w:szCs w:val="16"/>
              </w:rPr>
            </w:pPr>
            <w:r>
              <w:rPr>
                <w:rFonts w:hint="eastAsia" w:ascii="宋体" w:hAnsi="宋体" w:eastAsia="宋体" w:cs="宋体"/>
                <w:sz w:val="16"/>
                <w:szCs w:val="16"/>
              </w:rPr>
              <w:t>1.若为定</w:t>
            </w:r>
            <w:r>
              <w:rPr>
                <w:rFonts w:hint="eastAsia" w:ascii="宋体" w:hAnsi="宋体" w:eastAsia="宋体" w:cs="宋体"/>
                <w:spacing w:val="-6"/>
                <w:sz w:val="16"/>
                <w:szCs w:val="16"/>
              </w:rPr>
              <w:t>性指标，根据“三档”原则分别按照指标分值的100-80%（含）、80-50%（含）、50-10%来记分；</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2.若为定量指标，完成值达到指标值，记满分；未达到指标值，按完成比率计分，正向指标（即指标值为≧*）得分=实际完成值/年初目标值*该</w:t>
            </w:r>
            <w:r>
              <w:rPr>
                <w:rFonts w:hint="eastAsia" w:ascii="宋体" w:hAnsi="宋体" w:eastAsia="宋体" w:cs="宋体"/>
                <w:spacing w:val="-6"/>
                <w:sz w:val="16"/>
                <w:szCs w:val="16"/>
              </w:rPr>
              <w:t>指标分值，反向指标（即指标值为≦*）得分=年初目标值/实际完成值*该指标分值。</w:t>
            </w:r>
          </w:p>
        </w:tc>
        <w:tc>
          <w:tcPr>
            <w:tcW w:w="111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达到</w:t>
            </w:r>
          </w:p>
        </w:tc>
        <w:tc>
          <w:tcPr>
            <w:tcW w:w="455"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40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752"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项目效益（20分）</w:t>
            </w:r>
          </w:p>
        </w:tc>
        <w:tc>
          <w:tcPr>
            <w:tcW w:w="460"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20</w:t>
            </w:r>
          </w:p>
        </w:tc>
        <w:tc>
          <w:tcPr>
            <w:tcW w:w="3315" w:type="dxa"/>
            <w:tcBorders>
              <w:top w:val="single" w:color="auto" w:sz="4" w:space="0"/>
              <w:left w:val="single" w:color="auto" w:sz="4" w:space="0"/>
              <w:bottom w:val="single" w:color="auto" w:sz="4" w:space="0"/>
              <w:right w:val="single" w:color="auto" w:sz="4" w:space="0"/>
            </w:tcBorders>
            <w:vAlign w:val="center"/>
          </w:tcPr>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1.</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2.</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3.</w:t>
            </w:r>
          </w:p>
          <w:p>
            <w:pPr>
              <w:spacing w:line="230" w:lineRule="exact"/>
              <w:jc w:val="left"/>
              <w:rPr>
                <w:rFonts w:hint="eastAsia" w:ascii="宋体" w:hAnsi="宋体" w:eastAsia="宋体" w:cs="宋体"/>
                <w:sz w:val="16"/>
                <w:szCs w:val="16"/>
              </w:rPr>
            </w:pPr>
            <w:r>
              <w:rPr>
                <w:rFonts w:hint="eastAsia" w:ascii="宋体" w:hAnsi="宋体" w:eastAsia="宋体" w:cs="宋体"/>
                <w:sz w:val="16"/>
                <w:szCs w:val="16"/>
              </w:rPr>
              <w:t>……</w:t>
            </w:r>
          </w:p>
        </w:tc>
        <w:tc>
          <w:tcPr>
            <w:tcW w:w="34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 w:val="16"/>
                <w:szCs w:val="16"/>
              </w:rPr>
            </w:pPr>
          </w:p>
        </w:tc>
        <w:tc>
          <w:tcPr>
            <w:tcW w:w="111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rPr>
                <w:rFonts w:hint="eastAsia" w:ascii="宋体" w:hAnsi="宋体" w:eastAsia="宋体" w:cs="宋体"/>
                <w:sz w:val="16"/>
                <w:szCs w:val="16"/>
              </w:rPr>
            </w:pPr>
            <w:r>
              <w:rPr>
                <w:rFonts w:hint="eastAsia" w:ascii="宋体" w:hAnsi="宋体" w:eastAsia="宋体" w:cs="宋体"/>
                <w:sz w:val="16"/>
                <w:szCs w:val="16"/>
              </w:rPr>
              <w:t>100%</w:t>
            </w:r>
          </w:p>
        </w:tc>
        <w:tc>
          <w:tcPr>
            <w:tcW w:w="77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达到</w:t>
            </w:r>
          </w:p>
        </w:tc>
        <w:tc>
          <w:tcPr>
            <w:tcW w:w="455"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r>
              <w:rPr>
                <w:rFonts w:hint="eastAsia" w:ascii="宋体" w:hAnsi="宋体" w:eastAsia="宋体" w:cs="宋体"/>
                <w:sz w:val="16"/>
                <w:szCs w:val="16"/>
              </w:rPr>
              <w:t>20</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c>
          <w:tcPr>
            <w:tcW w:w="6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rPr>
                <w:rFonts w:hint="eastAsia" w:ascii="宋体" w:hAnsi="宋体" w:eastAsia="宋体" w:cs="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4413" w:type="dxa"/>
            <w:gridSpan w:val="12"/>
            <w:tcBorders>
              <w:top w:val="single" w:color="auto" w:sz="4" w:space="0"/>
              <w:left w:val="single" w:color="auto" w:sz="4" w:space="0"/>
              <w:bottom w:val="single" w:color="auto" w:sz="4" w:space="0"/>
              <w:right w:val="single" w:color="auto" w:sz="4" w:space="0"/>
            </w:tcBorders>
            <w:vAlign w:val="center"/>
          </w:tcPr>
          <w:p>
            <w:pPr>
              <w:spacing w:line="230" w:lineRule="exact"/>
              <w:rPr>
                <w:rFonts w:hint="eastAsia" w:ascii="宋体" w:hAnsi="宋体" w:eastAsia="宋体" w:cs="宋体"/>
                <w:sz w:val="16"/>
                <w:szCs w:val="16"/>
              </w:rPr>
            </w:pPr>
            <w:r>
              <w:rPr>
                <w:rFonts w:hint="eastAsia" w:ascii="宋体" w:hAnsi="宋体" w:eastAsia="宋体" w:cs="宋体"/>
                <w:sz w:val="16"/>
                <w:szCs w:val="16"/>
              </w:rPr>
              <w:t>备注：</w:t>
            </w:r>
          </w:p>
          <w:p>
            <w:pPr>
              <w:spacing w:line="230" w:lineRule="exact"/>
              <w:rPr>
                <w:rFonts w:hint="eastAsia" w:ascii="宋体" w:hAnsi="宋体" w:eastAsia="宋体" w:cs="宋体"/>
                <w:sz w:val="16"/>
                <w:szCs w:val="16"/>
              </w:rPr>
            </w:pPr>
            <w:r>
              <w:rPr>
                <w:rFonts w:hint="eastAsia" w:ascii="宋体" w:hAnsi="宋体" w:eastAsia="宋体" w:cs="宋体"/>
                <w:sz w:val="16"/>
                <w:szCs w:val="16"/>
              </w:rPr>
              <w:t>1.“项目产出”和“项目效果”直接细化成部门年初绩效目标中的指标，并根据重要程度赋权。</w:t>
            </w:r>
          </w:p>
          <w:p>
            <w:pPr>
              <w:spacing w:line="230" w:lineRule="exact"/>
              <w:rPr>
                <w:rFonts w:hint="eastAsia" w:ascii="宋体" w:hAnsi="宋体" w:eastAsia="宋体" w:cs="宋体"/>
                <w:sz w:val="16"/>
                <w:szCs w:val="16"/>
              </w:rPr>
            </w:pPr>
            <w:r>
              <w:rPr>
                <w:rFonts w:hint="eastAsia" w:ascii="宋体" w:hAnsi="宋体" w:eastAsia="宋体" w:cs="宋体"/>
                <w:sz w:val="16"/>
                <w:szCs w:val="16"/>
              </w:rPr>
              <w:t>2.“绩效指标分析”是指参考历史数据、行业标准及绩效目标实际完成情况等相关资料，从“是否与项目密切相关，指标值是否可获取，指标值是否可获取，指标值是否合理”等角度，从产出和效果类指标中找出需要改进的指标，并逐项提出次年的编制意见和建议。</w:t>
            </w:r>
          </w:p>
        </w:tc>
      </w:tr>
    </w:tbl>
    <w:p>
      <w:pPr>
        <w:spacing w:line="300" w:lineRule="exact"/>
        <w:rPr>
          <w:rFonts w:ascii="宋体" w:hAnsi="宋体" w:cs="宋体"/>
          <w:sz w:val="18"/>
          <w:szCs w:val="18"/>
        </w:rPr>
      </w:pPr>
    </w:p>
    <w:p>
      <w:pPr>
        <w:widowControl/>
        <w:jc w:val="left"/>
        <w:rPr>
          <w:rFonts w:ascii="宋体" w:hAnsi="宋体" w:cs="宋体"/>
          <w:sz w:val="18"/>
          <w:szCs w:val="18"/>
        </w:rPr>
        <w:sectPr>
          <w:pgSz w:w="16838" w:h="11906" w:orient="landscape"/>
          <w:pgMar w:top="1587" w:right="1417" w:bottom="1474" w:left="1417" w:header="851" w:footer="1531" w:gutter="0"/>
          <w:cols w:space="720" w:num="1"/>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十一、其他重要事项说明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（一）机关运行经费支出情况说明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2020年机关运行经费年初预算为6元万元，上年结转0万元，调整预算数6万元，支出决算为6万元，完成预算的100%，决算数与预算数基本持平。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（二）政府采购支出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2020本部门政府采购支出总额支出0万元，其中政府采购货物类支出0万元、政府采购服务类支出0万元、政府采购工程类支出0万元。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华文楷体" w:hAnsi="华文楷体" w:eastAsia="华文楷体" w:cs="楷体_GB2312"/>
          <w:bCs/>
          <w:sz w:val="32"/>
          <w:szCs w:val="32"/>
        </w:rPr>
      </w:pPr>
      <w:r>
        <w:rPr>
          <w:rFonts w:hint="eastAsia" w:ascii="华文楷体" w:hAnsi="华文楷体" w:eastAsia="华文楷体" w:cs="楷体_GB2312"/>
          <w:bCs/>
          <w:sz w:val="32"/>
          <w:szCs w:val="32"/>
        </w:rPr>
        <w:t>（三）国有资产占用及购置情况说明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r>
        <w:rPr>
          <w:rFonts w:hint="eastAsia" w:ascii="仿宋_GB2312" w:hAnsi="仿宋_GB2312" w:cs="仿宋_GB2312"/>
          <w:sz w:val="32"/>
          <w:szCs w:val="32"/>
        </w:rPr>
        <w:t>截至2020年末，本部门机关及所属单位公务车辆保有量0辆；单价50万元以上的通用设备0台（套）；单价100万元以上的专用设备0台（套）。2020年当年购置车辆0辆；购置单价50万元以上的通用设备0台（套）；购置单价100万元以上的专用设备0台（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cs="仿宋_GB2312"/>
          <w:sz w:val="32"/>
          <w:szCs w:val="32"/>
        </w:rPr>
      </w:pPr>
    </w:p>
    <w:p>
      <w:pP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br w:type="page"/>
      </w:r>
    </w:p>
    <w:p>
      <w:pPr>
        <w:spacing w:line="5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第四部分  专业名词解释</w:t>
      </w:r>
    </w:p>
    <w:p>
      <w:pPr>
        <w:spacing w:line="500" w:lineRule="exact"/>
        <w:rPr>
          <w:rFonts w:ascii="仿宋_GB2312" w:hAnsi="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1.基本支出：</w:t>
      </w:r>
      <w:r>
        <w:rPr>
          <w:rFonts w:hint="eastAsia" w:ascii="仿宋_GB2312" w:hAnsi="仿宋_GB2312" w:cs="仿宋_GB2312"/>
          <w:sz w:val="32"/>
          <w:szCs w:val="32"/>
        </w:rPr>
        <w:t>指为保障机构正常运转、完成日常工作任务而发生的各项支出。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2.项目支出：</w:t>
      </w:r>
      <w:r>
        <w:rPr>
          <w:rFonts w:hint="eastAsia" w:ascii="仿宋_GB2312" w:hAnsi="仿宋_GB2312" w:cs="仿宋_GB2312"/>
          <w:sz w:val="32"/>
          <w:szCs w:val="32"/>
        </w:rPr>
        <w:t>指单位为完成特定的行政工作任务或事业发展目标所发生的各项支出。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3.“三公”经费：</w:t>
      </w:r>
      <w:r>
        <w:rPr>
          <w:rFonts w:hint="eastAsia" w:ascii="仿宋_GB2312" w:hAnsi="仿宋_GB2312" w:cs="仿宋_GB2312"/>
          <w:sz w:val="32"/>
          <w:szCs w:val="32"/>
        </w:rPr>
        <w:t>指部门使用一般公共预算财政拨款安排的因公出国（境）费、公务用车购置及运行费和公务接待费支出。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cs="仿宋_GB2312"/>
          <w:sz w:val="32"/>
          <w:szCs w:val="32"/>
        </w:rPr>
      </w:pPr>
      <w:r>
        <w:rPr>
          <w:rFonts w:hint="eastAsia" w:ascii="仿宋_GB2312" w:hAnsi="仿宋_GB2312" w:cs="仿宋_GB2312"/>
          <w:b/>
          <w:bCs/>
          <w:sz w:val="32"/>
          <w:szCs w:val="32"/>
        </w:rPr>
        <w:t>4.财政拨款收入：</w:t>
      </w:r>
      <w:r>
        <w:rPr>
          <w:rFonts w:hint="eastAsia" w:ascii="仿宋_GB2312" w:hAnsi="仿宋_GB2312" w:cs="仿宋_GB2312"/>
          <w:sz w:val="32"/>
          <w:szCs w:val="32"/>
        </w:rPr>
        <w:t>指本级财政当年拨付的资金。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32"/>
          <w:szCs w:val="32"/>
        </w:rPr>
      </w:pPr>
    </w:p>
    <w:sectPr>
      <w:pgSz w:w="11906" w:h="16838"/>
      <w:pgMar w:top="1984" w:right="1474" w:bottom="1701" w:left="1587" w:header="851" w:footer="992" w:gutter="0"/>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altName w:val="微软雅黑"/>
    <w:panose1 w:val="00000000000000000000"/>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bordersDoNotSurroundHeader w:val="1"/>
  <w:bordersDoNotSurroundFooter w:val="1"/>
  <w:documentProtection w:enforcement="0"/>
  <w:defaultTabStop w:val="42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6F"/>
    <w:rsid w:val="000005A1"/>
    <w:rsid w:val="000006B1"/>
    <w:rsid w:val="0000073A"/>
    <w:rsid w:val="00001A31"/>
    <w:rsid w:val="00001DEE"/>
    <w:rsid w:val="00002681"/>
    <w:rsid w:val="00002840"/>
    <w:rsid w:val="00002A9F"/>
    <w:rsid w:val="00002C45"/>
    <w:rsid w:val="000031F8"/>
    <w:rsid w:val="00003A25"/>
    <w:rsid w:val="00003F02"/>
    <w:rsid w:val="00003FCA"/>
    <w:rsid w:val="000043CA"/>
    <w:rsid w:val="00004892"/>
    <w:rsid w:val="0000551F"/>
    <w:rsid w:val="00006A9B"/>
    <w:rsid w:val="00007037"/>
    <w:rsid w:val="000075A7"/>
    <w:rsid w:val="00007FC6"/>
    <w:rsid w:val="00012954"/>
    <w:rsid w:val="00012D1D"/>
    <w:rsid w:val="000138BC"/>
    <w:rsid w:val="00013D53"/>
    <w:rsid w:val="00014411"/>
    <w:rsid w:val="000148F0"/>
    <w:rsid w:val="00014A5D"/>
    <w:rsid w:val="0001727D"/>
    <w:rsid w:val="00017656"/>
    <w:rsid w:val="00017D25"/>
    <w:rsid w:val="000204CB"/>
    <w:rsid w:val="00021102"/>
    <w:rsid w:val="00021F60"/>
    <w:rsid w:val="000220B1"/>
    <w:rsid w:val="000235C4"/>
    <w:rsid w:val="00023A8B"/>
    <w:rsid w:val="00023C62"/>
    <w:rsid w:val="00024607"/>
    <w:rsid w:val="000249BE"/>
    <w:rsid w:val="00024C0A"/>
    <w:rsid w:val="00024CE8"/>
    <w:rsid w:val="00025A58"/>
    <w:rsid w:val="0002716D"/>
    <w:rsid w:val="00027FDC"/>
    <w:rsid w:val="00031B9D"/>
    <w:rsid w:val="00031F93"/>
    <w:rsid w:val="0003240F"/>
    <w:rsid w:val="0003274C"/>
    <w:rsid w:val="000330E6"/>
    <w:rsid w:val="00033F94"/>
    <w:rsid w:val="000342FD"/>
    <w:rsid w:val="00034897"/>
    <w:rsid w:val="00035037"/>
    <w:rsid w:val="00035529"/>
    <w:rsid w:val="00037873"/>
    <w:rsid w:val="000403C0"/>
    <w:rsid w:val="00040A93"/>
    <w:rsid w:val="00040C61"/>
    <w:rsid w:val="0004480E"/>
    <w:rsid w:val="00044873"/>
    <w:rsid w:val="00044EAD"/>
    <w:rsid w:val="00045A6A"/>
    <w:rsid w:val="00046EA9"/>
    <w:rsid w:val="0005065F"/>
    <w:rsid w:val="00050F50"/>
    <w:rsid w:val="000522E9"/>
    <w:rsid w:val="00052B64"/>
    <w:rsid w:val="00053FD2"/>
    <w:rsid w:val="000542B0"/>
    <w:rsid w:val="00055055"/>
    <w:rsid w:val="00055B9A"/>
    <w:rsid w:val="00056D30"/>
    <w:rsid w:val="00057C31"/>
    <w:rsid w:val="00057D13"/>
    <w:rsid w:val="000603EB"/>
    <w:rsid w:val="00061153"/>
    <w:rsid w:val="000613B9"/>
    <w:rsid w:val="00061689"/>
    <w:rsid w:val="00062592"/>
    <w:rsid w:val="0006264C"/>
    <w:rsid w:val="00063686"/>
    <w:rsid w:val="0006478A"/>
    <w:rsid w:val="00064ADF"/>
    <w:rsid w:val="00066252"/>
    <w:rsid w:val="0006632A"/>
    <w:rsid w:val="000666E3"/>
    <w:rsid w:val="00067F89"/>
    <w:rsid w:val="0007161A"/>
    <w:rsid w:val="00072A20"/>
    <w:rsid w:val="000730B1"/>
    <w:rsid w:val="0007402A"/>
    <w:rsid w:val="00074094"/>
    <w:rsid w:val="00075103"/>
    <w:rsid w:val="0007567F"/>
    <w:rsid w:val="00075BFB"/>
    <w:rsid w:val="000763AA"/>
    <w:rsid w:val="000777C8"/>
    <w:rsid w:val="000803ED"/>
    <w:rsid w:val="00080723"/>
    <w:rsid w:val="00080BC1"/>
    <w:rsid w:val="00080D7A"/>
    <w:rsid w:val="0008149B"/>
    <w:rsid w:val="0008196E"/>
    <w:rsid w:val="000837CA"/>
    <w:rsid w:val="000840EF"/>
    <w:rsid w:val="00084154"/>
    <w:rsid w:val="00084607"/>
    <w:rsid w:val="00085DE2"/>
    <w:rsid w:val="0008644B"/>
    <w:rsid w:val="0008660F"/>
    <w:rsid w:val="00087E1C"/>
    <w:rsid w:val="00092B00"/>
    <w:rsid w:val="000932AB"/>
    <w:rsid w:val="000934CD"/>
    <w:rsid w:val="000939E4"/>
    <w:rsid w:val="00093F51"/>
    <w:rsid w:val="00095609"/>
    <w:rsid w:val="00095C74"/>
    <w:rsid w:val="00095DF7"/>
    <w:rsid w:val="00095E1B"/>
    <w:rsid w:val="000965C7"/>
    <w:rsid w:val="00097C6F"/>
    <w:rsid w:val="000A00BD"/>
    <w:rsid w:val="000A1677"/>
    <w:rsid w:val="000A1945"/>
    <w:rsid w:val="000A2626"/>
    <w:rsid w:val="000A3ED4"/>
    <w:rsid w:val="000A5421"/>
    <w:rsid w:val="000A5E0D"/>
    <w:rsid w:val="000A6099"/>
    <w:rsid w:val="000A7041"/>
    <w:rsid w:val="000A7743"/>
    <w:rsid w:val="000A7993"/>
    <w:rsid w:val="000B005F"/>
    <w:rsid w:val="000B00B2"/>
    <w:rsid w:val="000B160E"/>
    <w:rsid w:val="000B1883"/>
    <w:rsid w:val="000B21FB"/>
    <w:rsid w:val="000B2CD1"/>
    <w:rsid w:val="000B3E73"/>
    <w:rsid w:val="000B5135"/>
    <w:rsid w:val="000B51BB"/>
    <w:rsid w:val="000B535E"/>
    <w:rsid w:val="000B57D9"/>
    <w:rsid w:val="000B5AC3"/>
    <w:rsid w:val="000B6A6C"/>
    <w:rsid w:val="000C09A0"/>
    <w:rsid w:val="000C09E2"/>
    <w:rsid w:val="000C0A7C"/>
    <w:rsid w:val="000C0D49"/>
    <w:rsid w:val="000C1351"/>
    <w:rsid w:val="000C1B4E"/>
    <w:rsid w:val="000C1E96"/>
    <w:rsid w:val="000C37D9"/>
    <w:rsid w:val="000C3E4D"/>
    <w:rsid w:val="000C427D"/>
    <w:rsid w:val="000C42D6"/>
    <w:rsid w:val="000C4DFE"/>
    <w:rsid w:val="000C511C"/>
    <w:rsid w:val="000C5A35"/>
    <w:rsid w:val="000C5BB0"/>
    <w:rsid w:val="000C5EEB"/>
    <w:rsid w:val="000C68F1"/>
    <w:rsid w:val="000C703D"/>
    <w:rsid w:val="000C718C"/>
    <w:rsid w:val="000C71EB"/>
    <w:rsid w:val="000C729D"/>
    <w:rsid w:val="000D156A"/>
    <w:rsid w:val="000D1A65"/>
    <w:rsid w:val="000D1B00"/>
    <w:rsid w:val="000D2623"/>
    <w:rsid w:val="000D2648"/>
    <w:rsid w:val="000D3475"/>
    <w:rsid w:val="000D497F"/>
    <w:rsid w:val="000D4FD3"/>
    <w:rsid w:val="000D599E"/>
    <w:rsid w:val="000D5D9C"/>
    <w:rsid w:val="000D6935"/>
    <w:rsid w:val="000D6B6C"/>
    <w:rsid w:val="000D6D74"/>
    <w:rsid w:val="000D6F8E"/>
    <w:rsid w:val="000D7A52"/>
    <w:rsid w:val="000E0951"/>
    <w:rsid w:val="000E2A94"/>
    <w:rsid w:val="000E2C55"/>
    <w:rsid w:val="000E2E6E"/>
    <w:rsid w:val="000E2ECF"/>
    <w:rsid w:val="000E30F9"/>
    <w:rsid w:val="000E3ED9"/>
    <w:rsid w:val="000E4E6D"/>
    <w:rsid w:val="000E5E4C"/>
    <w:rsid w:val="000E66BA"/>
    <w:rsid w:val="000E6832"/>
    <w:rsid w:val="000E75C0"/>
    <w:rsid w:val="000F07A0"/>
    <w:rsid w:val="000F1DD1"/>
    <w:rsid w:val="000F2DE9"/>
    <w:rsid w:val="000F37B7"/>
    <w:rsid w:val="000F547F"/>
    <w:rsid w:val="000F5560"/>
    <w:rsid w:val="000F5642"/>
    <w:rsid w:val="000F5837"/>
    <w:rsid w:val="00101206"/>
    <w:rsid w:val="00101322"/>
    <w:rsid w:val="00101D24"/>
    <w:rsid w:val="0010301D"/>
    <w:rsid w:val="0010303F"/>
    <w:rsid w:val="00103098"/>
    <w:rsid w:val="00103827"/>
    <w:rsid w:val="00104704"/>
    <w:rsid w:val="00104E0F"/>
    <w:rsid w:val="00105881"/>
    <w:rsid w:val="0010633C"/>
    <w:rsid w:val="001068D1"/>
    <w:rsid w:val="001076FE"/>
    <w:rsid w:val="00107918"/>
    <w:rsid w:val="001115BA"/>
    <w:rsid w:val="001127FB"/>
    <w:rsid w:val="00113166"/>
    <w:rsid w:val="00113E04"/>
    <w:rsid w:val="0011452F"/>
    <w:rsid w:val="00114E86"/>
    <w:rsid w:val="001151B7"/>
    <w:rsid w:val="0011557A"/>
    <w:rsid w:val="00116014"/>
    <w:rsid w:val="001165AD"/>
    <w:rsid w:val="0011757D"/>
    <w:rsid w:val="0012037C"/>
    <w:rsid w:val="00120ED9"/>
    <w:rsid w:val="001217DB"/>
    <w:rsid w:val="00121D37"/>
    <w:rsid w:val="00122838"/>
    <w:rsid w:val="0012296F"/>
    <w:rsid w:val="0012371A"/>
    <w:rsid w:val="00123872"/>
    <w:rsid w:val="00123940"/>
    <w:rsid w:val="00124CA0"/>
    <w:rsid w:val="00124EA2"/>
    <w:rsid w:val="001256AB"/>
    <w:rsid w:val="001257AF"/>
    <w:rsid w:val="00126195"/>
    <w:rsid w:val="00126B78"/>
    <w:rsid w:val="00127740"/>
    <w:rsid w:val="001303B0"/>
    <w:rsid w:val="001309C4"/>
    <w:rsid w:val="00131391"/>
    <w:rsid w:val="001316F2"/>
    <w:rsid w:val="0013238F"/>
    <w:rsid w:val="001338BA"/>
    <w:rsid w:val="00134264"/>
    <w:rsid w:val="001349A3"/>
    <w:rsid w:val="001350CA"/>
    <w:rsid w:val="00140485"/>
    <w:rsid w:val="001404AE"/>
    <w:rsid w:val="0014054B"/>
    <w:rsid w:val="001407AD"/>
    <w:rsid w:val="00140C24"/>
    <w:rsid w:val="00141955"/>
    <w:rsid w:val="001423DE"/>
    <w:rsid w:val="00144577"/>
    <w:rsid w:val="00144900"/>
    <w:rsid w:val="00145139"/>
    <w:rsid w:val="00146E7B"/>
    <w:rsid w:val="001501E7"/>
    <w:rsid w:val="00150457"/>
    <w:rsid w:val="00150A17"/>
    <w:rsid w:val="001518E9"/>
    <w:rsid w:val="001519A3"/>
    <w:rsid w:val="0015217F"/>
    <w:rsid w:val="001521B1"/>
    <w:rsid w:val="0015247A"/>
    <w:rsid w:val="00152B44"/>
    <w:rsid w:val="00152DC7"/>
    <w:rsid w:val="001531D8"/>
    <w:rsid w:val="001533E5"/>
    <w:rsid w:val="00154423"/>
    <w:rsid w:val="00154A10"/>
    <w:rsid w:val="00154CA2"/>
    <w:rsid w:val="00154E7D"/>
    <w:rsid w:val="001559E1"/>
    <w:rsid w:val="00155CEC"/>
    <w:rsid w:val="00156E21"/>
    <w:rsid w:val="00157001"/>
    <w:rsid w:val="0015703D"/>
    <w:rsid w:val="00157088"/>
    <w:rsid w:val="00157289"/>
    <w:rsid w:val="00157AAA"/>
    <w:rsid w:val="00160221"/>
    <w:rsid w:val="0016081D"/>
    <w:rsid w:val="00161172"/>
    <w:rsid w:val="00161813"/>
    <w:rsid w:val="00161E7C"/>
    <w:rsid w:val="00163579"/>
    <w:rsid w:val="00163D1B"/>
    <w:rsid w:val="0016475B"/>
    <w:rsid w:val="0016487F"/>
    <w:rsid w:val="00165A91"/>
    <w:rsid w:val="00166E82"/>
    <w:rsid w:val="00167AE7"/>
    <w:rsid w:val="00167B08"/>
    <w:rsid w:val="001707AE"/>
    <w:rsid w:val="00170B1C"/>
    <w:rsid w:val="001718FF"/>
    <w:rsid w:val="0017206D"/>
    <w:rsid w:val="00172B96"/>
    <w:rsid w:val="00172E04"/>
    <w:rsid w:val="00173266"/>
    <w:rsid w:val="00173739"/>
    <w:rsid w:val="00173A8F"/>
    <w:rsid w:val="00174562"/>
    <w:rsid w:val="001747A8"/>
    <w:rsid w:val="00174CD3"/>
    <w:rsid w:val="001752AB"/>
    <w:rsid w:val="0017626F"/>
    <w:rsid w:val="001765F7"/>
    <w:rsid w:val="0018188E"/>
    <w:rsid w:val="00181B41"/>
    <w:rsid w:val="00182D7B"/>
    <w:rsid w:val="00183386"/>
    <w:rsid w:val="0018368D"/>
    <w:rsid w:val="001843DE"/>
    <w:rsid w:val="00184B66"/>
    <w:rsid w:val="00184E08"/>
    <w:rsid w:val="00184ED1"/>
    <w:rsid w:val="0018649C"/>
    <w:rsid w:val="00186A90"/>
    <w:rsid w:val="00187404"/>
    <w:rsid w:val="00190121"/>
    <w:rsid w:val="00190AEF"/>
    <w:rsid w:val="00190C69"/>
    <w:rsid w:val="00191644"/>
    <w:rsid w:val="00192B40"/>
    <w:rsid w:val="00192C82"/>
    <w:rsid w:val="00192CF9"/>
    <w:rsid w:val="00193665"/>
    <w:rsid w:val="0019368F"/>
    <w:rsid w:val="00196269"/>
    <w:rsid w:val="0019693E"/>
    <w:rsid w:val="00196CEB"/>
    <w:rsid w:val="001971F7"/>
    <w:rsid w:val="001A04B4"/>
    <w:rsid w:val="001A1132"/>
    <w:rsid w:val="001A34BE"/>
    <w:rsid w:val="001A4C36"/>
    <w:rsid w:val="001A6A15"/>
    <w:rsid w:val="001A6B38"/>
    <w:rsid w:val="001A6F5D"/>
    <w:rsid w:val="001B028E"/>
    <w:rsid w:val="001B0732"/>
    <w:rsid w:val="001B0906"/>
    <w:rsid w:val="001B093B"/>
    <w:rsid w:val="001B11E1"/>
    <w:rsid w:val="001B13E7"/>
    <w:rsid w:val="001B1C75"/>
    <w:rsid w:val="001B1CA5"/>
    <w:rsid w:val="001B1FAA"/>
    <w:rsid w:val="001B1FCA"/>
    <w:rsid w:val="001B25A6"/>
    <w:rsid w:val="001B342C"/>
    <w:rsid w:val="001B3F65"/>
    <w:rsid w:val="001B4E90"/>
    <w:rsid w:val="001B51F3"/>
    <w:rsid w:val="001B5CBA"/>
    <w:rsid w:val="001B5D3C"/>
    <w:rsid w:val="001B5DB0"/>
    <w:rsid w:val="001B6957"/>
    <w:rsid w:val="001B73A3"/>
    <w:rsid w:val="001B7694"/>
    <w:rsid w:val="001B7B2A"/>
    <w:rsid w:val="001B7C02"/>
    <w:rsid w:val="001C0474"/>
    <w:rsid w:val="001C08A7"/>
    <w:rsid w:val="001C0BDC"/>
    <w:rsid w:val="001C132A"/>
    <w:rsid w:val="001C135D"/>
    <w:rsid w:val="001C1A2A"/>
    <w:rsid w:val="001C2609"/>
    <w:rsid w:val="001C399E"/>
    <w:rsid w:val="001C3E40"/>
    <w:rsid w:val="001C4955"/>
    <w:rsid w:val="001C4B76"/>
    <w:rsid w:val="001C7FC7"/>
    <w:rsid w:val="001D12CF"/>
    <w:rsid w:val="001D13F4"/>
    <w:rsid w:val="001D18F3"/>
    <w:rsid w:val="001D211E"/>
    <w:rsid w:val="001D33FB"/>
    <w:rsid w:val="001D394C"/>
    <w:rsid w:val="001D4376"/>
    <w:rsid w:val="001D44E2"/>
    <w:rsid w:val="001D4A06"/>
    <w:rsid w:val="001D517B"/>
    <w:rsid w:val="001D5AF9"/>
    <w:rsid w:val="001D6089"/>
    <w:rsid w:val="001D61B3"/>
    <w:rsid w:val="001D6BCC"/>
    <w:rsid w:val="001D6C29"/>
    <w:rsid w:val="001D6CC1"/>
    <w:rsid w:val="001D6CD7"/>
    <w:rsid w:val="001D702F"/>
    <w:rsid w:val="001D7159"/>
    <w:rsid w:val="001E070C"/>
    <w:rsid w:val="001E085B"/>
    <w:rsid w:val="001E12A0"/>
    <w:rsid w:val="001E15F5"/>
    <w:rsid w:val="001E166B"/>
    <w:rsid w:val="001E1754"/>
    <w:rsid w:val="001E19D4"/>
    <w:rsid w:val="001E1CE7"/>
    <w:rsid w:val="001E268A"/>
    <w:rsid w:val="001E329F"/>
    <w:rsid w:val="001E3796"/>
    <w:rsid w:val="001E5BD7"/>
    <w:rsid w:val="001E7D02"/>
    <w:rsid w:val="001F2701"/>
    <w:rsid w:val="001F3C8A"/>
    <w:rsid w:val="001F4ED0"/>
    <w:rsid w:val="001F5834"/>
    <w:rsid w:val="001F7DB8"/>
    <w:rsid w:val="001F7DDA"/>
    <w:rsid w:val="00202A32"/>
    <w:rsid w:val="00202D36"/>
    <w:rsid w:val="00203FEF"/>
    <w:rsid w:val="002042A2"/>
    <w:rsid w:val="00204D4A"/>
    <w:rsid w:val="00204DAE"/>
    <w:rsid w:val="002051B2"/>
    <w:rsid w:val="0020592A"/>
    <w:rsid w:val="0020593A"/>
    <w:rsid w:val="00205D02"/>
    <w:rsid w:val="00206076"/>
    <w:rsid w:val="0020687A"/>
    <w:rsid w:val="00207068"/>
    <w:rsid w:val="002071B0"/>
    <w:rsid w:val="002077D7"/>
    <w:rsid w:val="00207895"/>
    <w:rsid w:val="00207ACB"/>
    <w:rsid w:val="00207B4E"/>
    <w:rsid w:val="00210A23"/>
    <w:rsid w:val="00211AD1"/>
    <w:rsid w:val="0021233C"/>
    <w:rsid w:val="002128A3"/>
    <w:rsid w:val="002133DC"/>
    <w:rsid w:val="0021541C"/>
    <w:rsid w:val="00216041"/>
    <w:rsid w:val="0021668F"/>
    <w:rsid w:val="0021690A"/>
    <w:rsid w:val="00216F1C"/>
    <w:rsid w:val="00220238"/>
    <w:rsid w:val="00222CA7"/>
    <w:rsid w:val="00223467"/>
    <w:rsid w:val="002238A9"/>
    <w:rsid w:val="002244DB"/>
    <w:rsid w:val="002246AB"/>
    <w:rsid w:val="00224A7D"/>
    <w:rsid w:val="00224BF3"/>
    <w:rsid w:val="002251A9"/>
    <w:rsid w:val="00225365"/>
    <w:rsid w:val="00225DEE"/>
    <w:rsid w:val="0022659A"/>
    <w:rsid w:val="00227738"/>
    <w:rsid w:val="0023109F"/>
    <w:rsid w:val="0023140B"/>
    <w:rsid w:val="00231819"/>
    <w:rsid w:val="00231821"/>
    <w:rsid w:val="0023198C"/>
    <w:rsid w:val="002326FD"/>
    <w:rsid w:val="00232D0C"/>
    <w:rsid w:val="00233078"/>
    <w:rsid w:val="002338D9"/>
    <w:rsid w:val="002343B0"/>
    <w:rsid w:val="00234F92"/>
    <w:rsid w:val="002353A8"/>
    <w:rsid w:val="00237BCC"/>
    <w:rsid w:val="00240672"/>
    <w:rsid w:val="00241787"/>
    <w:rsid w:val="002438C5"/>
    <w:rsid w:val="00244593"/>
    <w:rsid w:val="0024482C"/>
    <w:rsid w:val="00244ED6"/>
    <w:rsid w:val="00245967"/>
    <w:rsid w:val="00245DEB"/>
    <w:rsid w:val="00245F40"/>
    <w:rsid w:val="00246DE1"/>
    <w:rsid w:val="00251381"/>
    <w:rsid w:val="002518FB"/>
    <w:rsid w:val="002527C5"/>
    <w:rsid w:val="00252AC1"/>
    <w:rsid w:val="00252FB0"/>
    <w:rsid w:val="00253A76"/>
    <w:rsid w:val="00253C65"/>
    <w:rsid w:val="00253EA9"/>
    <w:rsid w:val="00254C47"/>
    <w:rsid w:val="00254C79"/>
    <w:rsid w:val="0025640B"/>
    <w:rsid w:val="00256748"/>
    <w:rsid w:val="0025699B"/>
    <w:rsid w:val="0025711B"/>
    <w:rsid w:val="00257DF3"/>
    <w:rsid w:val="00260597"/>
    <w:rsid w:val="0026205C"/>
    <w:rsid w:val="00262F79"/>
    <w:rsid w:val="002639FB"/>
    <w:rsid w:val="002644B8"/>
    <w:rsid w:val="00265033"/>
    <w:rsid w:val="00265714"/>
    <w:rsid w:val="002661E3"/>
    <w:rsid w:val="00267543"/>
    <w:rsid w:val="00267934"/>
    <w:rsid w:val="002707C2"/>
    <w:rsid w:val="00271A1F"/>
    <w:rsid w:val="00271A81"/>
    <w:rsid w:val="00272741"/>
    <w:rsid w:val="0027430B"/>
    <w:rsid w:val="00274820"/>
    <w:rsid w:val="00274866"/>
    <w:rsid w:val="00274D68"/>
    <w:rsid w:val="00275291"/>
    <w:rsid w:val="00280C65"/>
    <w:rsid w:val="002814B3"/>
    <w:rsid w:val="002838F0"/>
    <w:rsid w:val="00283D94"/>
    <w:rsid w:val="00284D75"/>
    <w:rsid w:val="0028558E"/>
    <w:rsid w:val="00285E30"/>
    <w:rsid w:val="002863F0"/>
    <w:rsid w:val="00286C05"/>
    <w:rsid w:val="00287663"/>
    <w:rsid w:val="0029034B"/>
    <w:rsid w:val="00292C7B"/>
    <w:rsid w:val="00294732"/>
    <w:rsid w:val="00294910"/>
    <w:rsid w:val="002953E0"/>
    <w:rsid w:val="002966CD"/>
    <w:rsid w:val="00297057"/>
    <w:rsid w:val="00297576"/>
    <w:rsid w:val="00297B49"/>
    <w:rsid w:val="002A08D4"/>
    <w:rsid w:val="002A11DF"/>
    <w:rsid w:val="002A1D97"/>
    <w:rsid w:val="002A399B"/>
    <w:rsid w:val="002A404C"/>
    <w:rsid w:val="002A4C73"/>
    <w:rsid w:val="002A5130"/>
    <w:rsid w:val="002A7EF3"/>
    <w:rsid w:val="002B2623"/>
    <w:rsid w:val="002B2AF9"/>
    <w:rsid w:val="002B2BB1"/>
    <w:rsid w:val="002B369C"/>
    <w:rsid w:val="002B4E5C"/>
    <w:rsid w:val="002B4E70"/>
    <w:rsid w:val="002B59B4"/>
    <w:rsid w:val="002B64D9"/>
    <w:rsid w:val="002B71F9"/>
    <w:rsid w:val="002B743B"/>
    <w:rsid w:val="002C04F5"/>
    <w:rsid w:val="002C19A9"/>
    <w:rsid w:val="002C2382"/>
    <w:rsid w:val="002C2D8D"/>
    <w:rsid w:val="002C3007"/>
    <w:rsid w:val="002C4849"/>
    <w:rsid w:val="002C55A8"/>
    <w:rsid w:val="002C5926"/>
    <w:rsid w:val="002C615B"/>
    <w:rsid w:val="002C65D1"/>
    <w:rsid w:val="002C76C2"/>
    <w:rsid w:val="002D145C"/>
    <w:rsid w:val="002D1926"/>
    <w:rsid w:val="002D1C38"/>
    <w:rsid w:val="002D27C8"/>
    <w:rsid w:val="002D2E3B"/>
    <w:rsid w:val="002D41EC"/>
    <w:rsid w:val="002D4942"/>
    <w:rsid w:val="002D6523"/>
    <w:rsid w:val="002D7E22"/>
    <w:rsid w:val="002E0BB3"/>
    <w:rsid w:val="002E1D93"/>
    <w:rsid w:val="002E20FF"/>
    <w:rsid w:val="002E32D1"/>
    <w:rsid w:val="002E4756"/>
    <w:rsid w:val="002E4804"/>
    <w:rsid w:val="002E49AA"/>
    <w:rsid w:val="002E4A2B"/>
    <w:rsid w:val="002E53FD"/>
    <w:rsid w:val="002E587F"/>
    <w:rsid w:val="002E66E1"/>
    <w:rsid w:val="002E7FC8"/>
    <w:rsid w:val="002F019E"/>
    <w:rsid w:val="002F0D08"/>
    <w:rsid w:val="002F29A5"/>
    <w:rsid w:val="002F5090"/>
    <w:rsid w:val="002F54C6"/>
    <w:rsid w:val="002F5EE4"/>
    <w:rsid w:val="002F7D11"/>
    <w:rsid w:val="002F7DC3"/>
    <w:rsid w:val="00300E30"/>
    <w:rsid w:val="00301927"/>
    <w:rsid w:val="00301FBF"/>
    <w:rsid w:val="00303644"/>
    <w:rsid w:val="00303E96"/>
    <w:rsid w:val="00304EDD"/>
    <w:rsid w:val="00304F32"/>
    <w:rsid w:val="003052D4"/>
    <w:rsid w:val="00305862"/>
    <w:rsid w:val="00306088"/>
    <w:rsid w:val="00306DB9"/>
    <w:rsid w:val="00306EA8"/>
    <w:rsid w:val="00307DA5"/>
    <w:rsid w:val="00307E27"/>
    <w:rsid w:val="003109FD"/>
    <w:rsid w:val="00310BA9"/>
    <w:rsid w:val="003115DB"/>
    <w:rsid w:val="003125E3"/>
    <w:rsid w:val="003129C6"/>
    <w:rsid w:val="00312C6B"/>
    <w:rsid w:val="00313127"/>
    <w:rsid w:val="00314339"/>
    <w:rsid w:val="00314D81"/>
    <w:rsid w:val="00314EA9"/>
    <w:rsid w:val="00315203"/>
    <w:rsid w:val="003165AE"/>
    <w:rsid w:val="00317321"/>
    <w:rsid w:val="00317D53"/>
    <w:rsid w:val="00322063"/>
    <w:rsid w:val="0032300B"/>
    <w:rsid w:val="0032382A"/>
    <w:rsid w:val="00323FEB"/>
    <w:rsid w:val="0032480D"/>
    <w:rsid w:val="00324862"/>
    <w:rsid w:val="00325E72"/>
    <w:rsid w:val="0033046C"/>
    <w:rsid w:val="00331026"/>
    <w:rsid w:val="003316DA"/>
    <w:rsid w:val="0033380F"/>
    <w:rsid w:val="00333DEE"/>
    <w:rsid w:val="00333F72"/>
    <w:rsid w:val="0033513D"/>
    <w:rsid w:val="003352EB"/>
    <w:rsid w:val="00335425"/>
    <w:rsid w:val="00335CB0"/>
    <w:rsid w:val="00340948"/>
    <w:rsid w:val="00341385"/>
    <w:rsid w:val="0034176A"/>
    <w:rsid w:val="00341850"/>
    <w:rsid w:val="00341D13"/>
    <w:rsid w:val="00342D95"/>
    <w:rsid w:val="00343371"/>
    <w:rsid w:val="003438EF"/>
    <w:rsid w:val="00344336"/>
    <w:rsid w:val="00344771"/>
    <w:rsid w:val="00344A22"/>
    <w:rsid w:val="003455C8"/>
    <w:rsid w:val="00345E44"/>
    <w:rsid w:val="00346AAC"/>
    <w:rsid w:val="00346AAF"/>
    <w:rsid w:val="003472DC"/>
    <w:rsid w:val="00347421"/>
    <w:rsid w:val="00350BE1"/>
    <w:rsid w:val="00353C0D"/>
    <w:rsid w:val="003553E4"/>
    <w:rsid w:val="00355A50"/>
    <w:rsid w:val="00356817"/>
    <w:rsid w:val="00356845"/>
    <w:rsid w:val="00356F34"/>
    <w:rsid w:val="0035743B"/>
    <w:rsid w:val="0036072A"/>
    <w:rsid w:val="00361105"/>
    <w:rsid w:val="003619D2"/>
    <w:rsid w:val="003621EC"/>
    <w:rsid w:val="00362546"/>
    <w:rsid w:val="003628FD"/>
    <w:rsid w:val="00362965"/>
    <w:rsid w:val="003629FA"/>
    <w:rsid w:val="00362F3F"/>
    <w:rsid w:val="003631FF"/>
    <w:rsid w:val="00363AC8"/>
    <w:rsid w:val="00364167"/>
    <w:rsid w:val="003655E5"/>
    <w:rsid w:val="0036607D"/>
    <w:rsid w:val="0036615B"/>
    <w:rsid w:val="003668B1"/>
    <w:rsid w:val="00370133"/>
    <w:rsid w:val="003707FA"/>
    <w:rsid w:val="0037163C"/>
    <w:rsid w:val="003716EB"/>
    <w:rsid w:val="0037233D"/>
    <w:rsid w:val="00372517"/>
    <w:rsid w:val="003731C7"/>
    <w:rsid w:val="00373BB1"/>
    <w:rsid w:val="0037407A"/>
    <w:rsid w:val="0037585A"/>
    <w:rsid w:val="00375DE8"/>
    <w:rsid w:val="00376E55"/>
    <w:rsid w:val="00377461"/>
    <w:rsid w:val="0037791A"/>
    <w:rsid w:val="0038180E"/>
    <w:rsid w:val="00381C2E"/>
    <w:rsid w:val="0038388D"/>
    <w:rsid w:val="00383CE5"/>
    <w:rsid w:val="003863D5"/>
    <w:rsid w:val="00386672"/>
    <w:rsid w:val="00386A91"/>
    <w:rsid w:val="00390559"/>
    <w:rsid w:val="00390BC4"/>
    <w:rsid w:val="0039150F"/>
    <w:rsid w:val="00391941"/>
    <w:rsid w:val="00391E39"/>
    <w:rsid w:val="0039345A"/>
    <w:rsid w:val="003938AB"/>
    <w:rsid w:val="003940B3"/>
    <w:rsid w:val="003944F6"/>
    <w:rsid w:val="00395560"/>
    <w:rsid w:val="00395DC6"/>
    <w:rsid w:val="00395F61"/>
    <w:rsid w:val="00395FFC"/>
    <w:rsid w:val="003977AE"/>
    <w:rsid w:val="003A17CE"/>
    <w:rsid w:val="003A1A5C"/>
    <w:rsid w:val="003A213E"/>
    <w:rsid w:val="003A2158"/>
    <w:rsid w:val="003A265E"/>
    <w:rsid w:val="003A2DCF"/>
    <w:rsid w:val="003A3C14"/>
    <w:rsid w:val="003A3CF2"/>
    <w:rsid w:val="003A3F5F"/>
    <w:rsid w:val="003A4204"/>
    <w:rsid w:val="003A4A78"/>
    <w:rsid w:val="003A4EFF"/>
    <w:rsid w:val="003A4FF3"/>
    <w:rsid w:val="003A54C3"/>
    <w:rsid w:val="003A5501"/>
    <w:rsid w:val="003A6E67"/>
    <w:rsid w:val="003A728F"/>
    <w:rsid w:val="003A7A7B"/>
    <w:rsid w:val="003B02BA"/>
    <w:rsid w:val="003B03A2"/>
    <w:rsid w:val="003B1200"/>
    <w:rsid w:val="003B1640"/>
    <w:rsid w:val="003B20EC"/>
    <w:rsid w:val="003B3756"/>
    <w:rsid w:val="003B3C36"/>
    <w:rsid w:val="003B40C8"/>
    <w:rsid w:val="003B4D9F"/>
    <w:rsid w:val="003B57F0"/>
    <w:rsid w:val="003B6071"/>
    <w:rsid w:val="003B6367"/>
    <w:rsid w:val="003B6598"/>
    <w:rsid w:val="003B69B2"/>
    <w:rsid w:val="003B765F"/>
    <w:rsid w:val="003B78D6"/>
    <w:rsid w:val="003C087D"/>
    <w:rsid w:val="003C2E9B"/>
    <w:rsid w:val="003C33E3"/>
    <w:rsid w:val="003C6198"/>
    <w:rsid w:val="003C684B"/>
    <w:rsid w:val="003C7EB8"/>
    <w:rsid w:val="003D0B30"/>
    <w:rsid w:val="003D1C43"/>
    <w:rsid w:val="003D332B"/>
    <w:rsid w:val="003D460A"/>
    <w:rsid w:val="003D46AA"/>
    <w:rsid w:val="003D4AD2"/>
    <w:rsid w:val="003D4C89"/>
    <w:rsid w:val="003D57BC"/>
    <w:rsid w:val="003D6A0C"/>
    <w:rsid w:val="003D6FE1"/>
    <w:rsid w:val="003E0857"/>
    <w:rsid w:val="003E0E36"/>
    <w:rsid w:val="003E0F9A"/>
    <w:rsid w:val="003E21CA"/>
    <w:rsid w:val="003E2506"/>
    <w:rsid w:val="003E30EC"/>
    <w:rsid w:val="003E3FF9"/>
    <w:rsid w:val="003E4257"/>
    <w:rsid w:val="003E4577"/>
    <w:rsid w:val="003E4616"/>
    <w:rsid w:val="003E4D85"/>
    <w:rsid w:val="003E50F3"/>
    <w:rsid w:val="003E5B7A"/>
    <w:rsid w:val="003E63BC"/>
    <w:rsid w:val="003E6FDD"/>
    <w:rsid w:val="003E7C7D"/>
    <w:rsid w:val="003F0140"/>
    <w:rsid w:val="003F05B3"/>
    <w:rsid w:val="003F2047"/>
    <w:rsid w:val="003F241E"/>
    <w:rsid w:val="003F28AD"/>
    <w:rsid w:val="003F292B"/>
    <w:rsid w:val="003F37FE"/>
    <w:rsid w:val="003F4047"/>
    <w:rsid w:val="003F5AF7"/>
    <w:rsid w:val="003F66E1"/>
    <w:rsid w:val="004005D4"/>
    <w:rsid w:val="004007B0"/>
    <w:rsid w:val="00400C33"/>
    <w:rsid w:val="00400D33"/>
    <w:rsid w:val="004011A4"/>
    <w:rsid w:val="00403A07"/>
    <w:rsid w:val="00403BB9"/>
    <w:rsid w:val="00405775"/>
    <w:rsid w:val="00405A20"/>
    <w:rsid w:val="00406796"/>
    <w:rsid w:val="0041005A"/>
    <w:rsid w:val="00410697"/>
    <w:rsid w:val="004120BE"/>
    <w:rsid w:val="00413446"/>
    <w:rsid w:val="00413BC1"/>
    <w:rsid w:val="00414D9D"/>
    <w:rsid w:val="004162E8"/>
    <w:rsid w:val="0041763E"/>
    <w:rsid w:val="00420054"/>
    <w:rsid w:val="004230CF"/>
    <w:rsid w:val="00423622"/>
    <w:rsid w:val="004236FD"/>
    <w:rsid w:val="0042487C"/>
    <w:rsid w:val="0042499B"/>
    <w:rsid w:val="00424F0E"/>
    <w:rsid w:val="004251E8"/>
    <w:rsid w:val="004257B3"/>
    <w:rsid w:val="004257CF"/>
    <w:rsid w:val="00425C79"/>
    <w:rsid w:val="0042656E"/>
    <w:rsid w:val="00426A06"/>
    <w:rsid w:val="0042748E"/>
    <w:rsid w:val="004274DA"/>
    <w:rsid w:val="00427CA9"/>
    <w:rsid w:val="004307DF"/>
    <w:rsid w:val="00430BD9"/>
    <w:rsid w:val="004323DA"/>
    <w:rsid w:val="00432E57"/>
    <w:rsid w:val="004346E1"/>
    <w:rsid w:val="00435BD7"/>
    <w:rsid w:val="00436A4C"/>
    <w:rsid w:val="00437C3F"/>
    <w:rsid w:val="00440166"/>
    <w:rsid w:val="00440264"/>
    <w:rsid w:val="00441432"/>
    <w:rsid w:val="00441615"/>
    <w:rsid w:val="00442289"/>
    <w:rsid w:val="00442858"/>
    <w:rsid w:val="00442C0D"/>
    <w:rsid w:val="00442D3C"/>
    <w:rsid w:val="00442E53"/>
    <w:rsid w:val="0044312C"/>
    <w:rsid w:val="00443318"/>
    <w:rsid w:val="0044356D"/>
    <w:rsid w:val="00443CA0"/>
    <w:rsid w:val="004440D3"/>
    <w:rsid w:val="00444EC9"/>
    <w:rsid w:val="004450A5"/>
    <w:rsid w:val="004463DB"/>
    <w:rsid w:val="00446EDE"/>
    <w:rsid w:val="00447DB5"/>
    <w:rsid w:val="00447E0B"/>
    <w:rsid w:val="00450481"/>
    <w:rsid w:val="004506EB"/>
    <w:rsid w:val="00451223"/>
    <w:rsid w:val="00451E9D"/>
    <w:rsid w:val="00451EA6"/>
    <w:rsid w:val="00451F88"/>
    <w:rsid w:val="00453A26"/>
    <w:rsid w:val="00453B15"/>
    <w:rsid w:val="00453CD7"/>
    <w:rsid w:val="00454C56"/>
    <w:rsid w:val="004552EB"/>
    <w:rsid w:val="00456BA2"/>
    <w:rsid w:val="0045720E"/>
    <w:rsid w:val="004576B3"/>
    <w:rsid w:val="004576DC"/>
    <w:rsid w:val="00457A01"/>
    <w:rsid w:val="00457AF7"/>
    <w:rsid w:val="00460B58"/>
    <w:rsid w:val="0046131F"/>
    <w:rsid w:val="00461385"/>
    <w:rsid w:val="004621AA"/>
    <w:rsid w:val="00462694"/>
    <w:rsid w:val="00463CD1"/>
    <w:rsid w:val="004643F8"/>
    <w:rsid w:val="00464692"/>
    <w:rsid w:val="004651A2"/>
    <w:rsid w:val="00465565"/>
    <w:rsid w:val="004670D1"/>
    <w:rsid w:val="00467FD2"/>
    <w:rsid w:val="0047078D"/>
    <w:rsid w:val="00471961"/>
    <w:rsid w:val="00473605"/>
    <w:rsid w:val="00473607"/>
    <w:rsid w:val="0047551E"/>
    <w:rsid w:val="0047599C"/>
    <w:rsid w:val="00475D53"/>
    <w:rsid w:val="004762BE"/>
    <w:rsid w:val="00476483"/>
    <w:rsid w:val="004810F1"/>
    <w:rsid w:val="004817A4"/>
    <w:rsid w:val="0048207C"/>
    <w:rsid w:val="00482790"/>
    <w:rsid w:val="00482D05"/>
    <w:rsid w:val="00482DAF"/>
    <w:rsid w:val="004830DC"/>
    <w:rsid w:val="00483F8E"/>
    <w:rsid w:val="00485283"/>
    <w:rsid w:val="0048541A"/>
    <w:rsid w:val="00486C5C"/>
    <w:rsid w:val="00487240"/>
    <w:rsid w:val="004910C7"/>
    <w:rsid w:val="004917ED"/>
    <w:rsid w:val="00492164"/>
    <w:rsid w:val="004923F7"/>
    <w:rsid w:val="00493BCF"/>
    <w:rsid w:val="0049514C"/>
    <w:rsid w:val="004956E6"/>
    <w:rsid w:val="00495DA2"/>
    <w:rsid w:val="00497BBC"/>
    <w:rsid w:val="004A2697"/>
    <w:rsid w:val="004A2910"/>
    <w:rsid w:val="004A3290"/>
    <w:rsid w:val="004A32FC"/>
    <w:rsid w:val="004A330C"/>
    <w:rsid w:val="004A35D5"/>
    <w:rsid w:val="004A3C01"/>
    <w:rsid w:val="004A3C5F"/>
    <w:rsid w:val="004A49BF"/>
    <w:rsid w:val="004A4B77"/>
    <w:rsid w:val="004A5B93"/>
    <w:rsid w:val="004B078E"/>
    <w:rsid w:val="004B13E8"/>
    <w:rsid w:val="004B28C2"/>
    <w:rsid w:val="004B3FD9"/>
    <w:rsid w:val="004B594E"/>
    <w:rsid w:val="004B5BE3"/>
    <w:rsid w:val="004B5C75"/>
    <w:rsid w:val="004B6842"/>
    <w:rsid w:val="004B6F8F"/>
    <w:rsid w:val="004B7703"/>
    <w:rsid w:val="004B780D"/>
    <w:rsid w:val="004C02E4"/>
    <w:rsid w:val="004C097E"/>
    <w:rsid w:val="004C114C"/>
    <w:rsid w:val="004C1450"/>
    <w:rsid w:val="004C2000"/>
    <w:rsid w:val="004C303E"/>
    <w:rsid w:val="004C311C"/>
    <w:rsid w:val="004C402A"/>
    <w:rsid w:val="004C4768"/>
    <w:rsid w:val="004C521B"/>
    <w:rsid w:val="004C5361"/>
    <w:rsid w:val="004C56C7"/>
    <w:rsid w:val="004C59A1"/>
    <w:rsid w:val="004C5CEC"/>
    <w:rsid w:val="004D0A37"/>
    <w:rsid w:val="004D1200"/>
    <w:rsid w:val="004D2349"/>
    <w:rsid w:val="004D3114"/>
    <w:rsid w:val="004D5711"/>
    <w:rsid w:val="004D61E5"/>
    <w:rsid w:val="004D6B81"/>
    <w:rsid w:val="004D720F"/>
    <w:rsid w:val="004E02C8"/>
    <w:rsid w:val="004E0624"/>
    <w:rsid w:val="004E0BAF"/>
    <w:rsid w:val="004E0EF5"/>
    <w:rsid w:val="004E1673"/>
    <w:rsid w:val="004E2641"/>
    <w:rsid w:val="004E2F11"/>
    <w:rsid w:val="004E34EC"/>
    <w:rsid w:val="004E3EBD"/>
    <w:rsid w:val="004E3FBD"/>
    <w:rsid w:val="004E4E67"/>
    <w:rsid w:val="004E524F"/>
    <w:rsid w:val="004E54E3"/>
    <w:rsid w:val="004E6563"/>
    <w:rsid w:val="004F08F4"/>
    <w:rsid w:val="004F14F2"/>
    <w:rsid w:val="004F186B"/>
    <w:rsid w:val="004F19EF"/>
    <w:rsid w:val="004F1FD7"/>
    <w:rsid w:val="004F27F3"/>
    <w:rsid w:val="004F3969"/>
    <w:rsid w:val="004F3F11"/>
    <w:rsid w:val="004F48C9"/>
    <w:rsid w:val="004F4C6F"/>
    <w:rsid w:val="004F4EEB"/>
    <w:rsid w:val="004F50AE"/>
    <w:rsid w:val="004F5496"/>
    <w:rsid w:val="004F5562"/>
    <w:rsid w:val="004F567A"/>
    <w:rsid w:val="004F5D60"/>
    <w:rsid w:val="004F6ACA"/>
    <w:rsid w:val="004F7198"/>
    <w:rsid w:val="004F74E0"/>
    <w:rsid w:val="0050030C"/>
    <w:rsid w:val="00503317"/>
    <w:rsid w:val="00503386"/>
    <w:rsid w:val="005035B1"/>
    <w:rsid w:val="00503B00"/>
    <w:rsid w:val="00503BB1"/>
    <w:rsid w:val="00504DF3"/>
    <w:rsid w:val="00505521"/>
    <w:rsid w:val="005055C9"/>
    <w:rsid w:val="00505B34"/>
    <w:rsid w:val="005067A4"/>
    <w:rsid w:val="0050748A"/>
    <w:rsid w:val="00507C36"/>
    <w:rsid w:val="00511FD3"/>
    <w:rsid w:val="00512771"/>
    <w:rsid w:val="00512B99"/>
    <w:rsid w:val="005132E1"/>
    <w:rsid w:val="00514986"/>
    <w:rsid w:val="005156B4"/>
    <w:rsid w:val="005158A8"/>
    <w:rsid w:val="00515C45"/>
    <w:rsid w:val="0051685E"/>
    <w:rsid w:val="00516E45"/>
    <w:rsid w:val="005171B0"/>
    <w:rsid w:val="00517780"/>
    <w:rsid w:val="0051789A"/>
    <w:rsid w:val="0052049A"/>
    <w:rsid w:val="005210AE"/>
    <w:rsid w:val="005216A5"/>
    <w:rsid w:val="0052313D"/>
    <w:rsid w:val="005231F1"/>
    <w:rsid w:val="00523264"/>
    <w:rsid w:val="0052515B"/>
    <w:rsid w:val="00525AC4"/>
    <w:rsid w:val="00525F2E"/>
    <w:rsid w:val="00526390"/>
    <w:rsid w:val="005265E6"/>
    <w:rsid w:val="00530957"/>
    <w:rsid w:val="00531AF4"/>
    <w:rsid w:val="00531B5A"/>
    <w:rsid w:val="0053341E"/>
    <w:rsid w:val="00534D29"/>
    <w:rsid w:val="00535A86"/>
    <w:rsid w:val="00537464"/>
    <w:rsid w:val="00537899"/>
    <w:rsid w:val="00537C77"/>
    <w:rsid w:val="00540431"/>
    <w:rsid w:val="00541C55"/>
    <w:rsid w:val="0054261A"/>
    <w:rsid w:val="005435A9"/>
    <w:rsid w:val="00543B97"/>
    <w:rsid w:val="00544F31"/>
    <w:rsid w:val="005459BA"/>
    <w:rsid w:val="00546B70"/>
    <w:rsid w:val="00547004"/>
    <w:rsid w:val="00547D1E"/>
    <w:rsid w:val="00550E5E"/>
    <w:rsid w:val="00551B51"/>
    <w:rsid w:val="0055242C"/>
    <w:rsid w:val="00552B72"/>
    <w:rsid w:val="00552C8D"/>
    <w:rsid w:val="0055391D"/>
    <w:rsid w:val="00553927"/>
    <w:rsid w:val="005549DF"/>
    <w:rsid w:val="00554B31"/>
    <w:rsid w:val="00554E99"/>
    <w:rsid w:val="00555D0F"/>
    <w:rsid w:val="005567B9"/>
    <w:rsid w:val="00556A50"/>
    <w:rsid w:val="005572B9"/>
    <w:rsid w:val="0055748B"/>
    <w:rsid w:val="005574ED"/>
    <w:rsid w:val="00562060"/>
    <w:rsid w:val="0056216A"/>
    <w:rsid w:val="00563D68"/>
    <w:rsid w:val="00563EE8"/>
    <w:rsid w:val="00564365"/>
    <w:rsid w:val="0056531A"/>
    <w:rsid w:val="005660D9"/>
    <w:rsid w:val="00566408"/>
    <w:rsid w:val="0056649C"/>
    <w:rsid w:val="00566834"/>
    <w:rsid w:val="0056733A"/>
    <w:rsid w:val="00567617"/>
    <w:rsid w:val="0057104E"/>
    <w:rsid w:val="00571568"/>
    <w:rsid w:val="00572AC7"/>
    <w:rsid w:val="00572CED"/>
    <w:rsid w:val="00573340"/>
    <w:rsid w:val="00573510"/>
    <w:rsid w:val="0057368A"/>
    <w:rsid w:val="00574777"/>
    <w:rsid w:val="0057513A"/>
    <w:rsid w:val="00575B83"/>
    <w:rsid w:val="00575C82"/>
    <w:rsid w:val="005760C1"/>
    <w:rsid w:val="005760E2"/>
    <w:rsid w:val="00580BC8"/>
    <w:rsid w:val="00581A81"/>
    <w:rsid w:val="00581D12"/>
    <w:rsid w:val="005826CC"/>
    <w:rsid w:val="00582C3F"/>
    <w:rsid w:val="00583FCC"/>
    <w:rsid w:val="005849D6"/>
    <w:rsid w:val="00584E41"/>
    <w:rsid w:val="00585F07"/>
    <w:rsid w:val="00586B9D"/>
    <w:rsid w:val="00587FA1"/>
    <w:rsid w:val="00590D99"/>
    <w:rsid w:val="00591828"/>
    <w:rsid w:val="005949AA"/>
    <w:rsid w:val="005962FC"/>
    <w:rsid w:val="005A234F"/>
    <w:rsid w:val="005A24BC"/>
    <w:rsid w:val="005A2AD6"/>
    <w:rsid w:val="005A36B4"/>
    <w:rsid w:val="005A3B8E"/>
    <w:rsid w:val="005A3E80"/>
    <w:rsid w:val="005A443E"/>
    <w:rsid w:val="005A4DAA"/>
    <w:rsid w:val="005A4FA6"/>
    <w:rsid w:val="005A5200"/>
    <w:rsid w:val="005A5418"/>
    <w:rsid w:val="005A642B"/>
    <w:rsid w:val="005A6477"/>
    <w:rsid w:val="005A656A"/>
    <w:rsid w:val="005B1E86"/>
    <w:rsid w:val="005B20DC"/>
    <w:rsid w:val="005B221F"/>
    <w:rsid w:val="005B348D"/>
    <w:rsid w:val="005B3E8D"/>
    <w:rsid w:val="005B4CA2"/>
    <w:rsid w:val="005B4DFA"/>
    <w:rsid w:val="005B675D"/>
    <w:rsid w:val="005C157C"/>
    <w:rsid w:val="005C1767"/>
    <w:rsid w:val="005C180D"/>
    <w:rsid w:val="005C1B47"/>
    <w:rsid w:val="005C30AA"/>
    <w:rsid w:val="005C3610"/>
    <w:rsid w:val="005C3FF7"/>
    <w:rsid w:val="005C4E02"/>
    <w:rsid w:val="005C502E"/>
    <w:rsid w:val="005C52BD"/>
    <w:rsid w:val="005C550B"/>
    <w:rsid w:val="005C61A8"/>
    <w:rsid w:val="005C66C8"/>
    <w:rsid w:val="005C6790"/>
    <w:rsid w:val="005C6955"/>
    <w:rsid w:val="005D000D"/>
    <w:rsid w:val="005D0E3B"/>
    <w:rsid w:val="005D1996"/>
    <w:rsid w:val="005D2146"/>
    <w:rsid w:val="005D2357"/>
    <w:rsid w:val="005D31FA"/>
    <w:rsid w:val="005D4362"/>
    <w:rsid w:val="005D4763"/>
    <w:rsid w:val="005D4A6F"/>
    <w:rsid w:val="005D5DC0"/>
    <w:rsid w:val="005D5DE0"/>
    <w:rsid w:val="005D60B9"/>
    <w:rsid w:val="005D6C83"/>
    <w:rsid w:val="005D6CA8"/>
    <w:rsid w:val="005D6DD2"/>
    <w:rsid w:val="005D73C0"/>
    <w:rsid w:val="005E1010"/>
    <w:rsid w:val="005E1DC8"/>
    <w:rsid w:val="005E1F40"/>
    <w:rsid w:val="005E27E8"/>
    <w:rsid w:val="005E3026"/>
    <w:rsid w:val="005E4129"/>
    <w:rsid w:val="005E419D"/>
    <w:rsid w:val="005E45FB"/>
    <w:rsid w:val="005E6C42"/>
    <w:rsid w:val="005E6CA6"/>
    <w:rsid w:val="005F0372"/>
    <w:rsid w:val="005F2EEF"/>
    <w:rsid w:val="005F2F3C"/>
    <w:rsid w:val="005F3825"/>
    <w:rsid w:val="005F4521"/>
    <w:rsid w:val="005F45F9"/>
    <w:rsid w:val="005F4703"/>
    <w:rsid w:val="005F56ED"/>
    <w:rsid w:val="005F61A8"/>
    <w:rsid w:val="005F641A"/>
    <w:rsid w:val="005F6C6F"/>
    <w:rsid w:val="005F6FDB"/>
    <w:rsid w:val="005F7BDB"/>
    <w:rsid w:val="005F7E55"/>
    <w:rsid w:val="00600A19"/>
    <w:rsid w:val="006011AD"/>
    <w:rsid w:val="006014DC"/>
    <w:rsid w:val="0060294D"/>
    <w:rsid w:val="00604153"/>
    <w:rsid w:val="00607757"/>
    <w:rsid w:val="00610A1E"/>
    <w:rsid w:val="00611678"/>
    <w:rsid w:val="00611B5E"/>
    <w:rsid w:val="00611D2D"/>
    <w:rsid w:val="00612463"/>
    <w:rsid w:val="00612C09"/>
    <w:rsid w:val="0061315A"/>
    <w:rsid w:val="0061394B"/>
    <w:rsid w:val="006141C1"/>
    <w:rsid w:val="006142E8"/>
    <w:rsid w:val="00615E1C"/>
    <w:rsid w:val="0061630E"/>
    <w:rsid w:val="00616C84"/>
    <w:rsid w:val="00616DF0"/>
    <w:rsid w:val="006172EC"/>
    <w:rsid w:val="00617807"/>
    <w:rsid w:val="00617E16"/>
    <w:rsid w:val="006208F0"/>
    <w:rsid w:val="00621944"/>
    <w:rsid w:val="00621FF7"/>
    <w:rsid w:val="00622888"/>
    <w:rsid w:val="00622A8A"/>
    <w:rsid w:val="00622E64"/>
    <w:rsid w:val="00622F9D"/>
    <w:rsid w:val="006232D1"/>
    <w:rsid w:val="0062353D"/>
    <w:rsid w:val="00623C23"/>
    <w:rsid w:val="00624BD4"/>
    <w:rsid w:val="00624F6A"/>
    <w:rsid w:val="00625AE1"/>
    <w:rsid w:val="00625F92"/>
    <w:rsid w:val="006260C5"/>
    <w:rsid w:val="006262D7"/>
    <w:rsid w:val="0062726A"/>
    <w:rsid w:val="00627700"/>
    <w:rsid w:val="00630458"/>
    <w:rsid w:val="00630547"/>
    <w:rsid w:val="006309EA"/>
    <w:rsid w:val="0063197C"/>
    <w:rsid w:val="0063224A"/>
    <w:rsid w:val="006334AC"/>
    <w:rsid w:val="0063693A"/>
    <w:rsid w:val="006370BC"/>
    <w:rsid w:val="006379E9"/>
    <w:rsid w:val="006403DC"/>
    <w:rsid w:val="006404F0"/>
    <w:rsid w:val="0064076F"/>
    <w:rsid w:val="006418A6"/>
    <w:rsid w:val="00641C8B"/>
    <w:rsid w:val="006422FA"/>
    <w:rsid w:val="00642580"/>
    <w:rsid w:val="00642AF7"/>
    <w:rsid w:val="00643967"/>
    <w:rsid w:val="00643ADB"/>
    <w:rsid w:val="0064420C"/>
    <w:rsid w:val="00644258"/>
    <w:rsid w:val="00644C32"/>
    <w:rsid w:val="00644E34"/>
    <w:rsid w:val="00646B9E"/>
    <w:rsid w:val="00647B45"/>
    <w:rsid w:val="00652D5E"/>
    <w:rsid w:val="006533D5"/>
    <w:rsid w:val="00654248"/>
    <w:rsid w:val="00654579"/>
    <w:rsid w:val="00654813"/>
    <w:rsid w:val="00654B14"/>
    <w:rsid w:val="00655034"/>
    <w:rsid w:val="0065562E"/>
    <w:rsid w:val="006556D8"/>
    <w:rsid w:val="00656435"/>
    <w:rsid w:val="00660A4D"/>
    <w:rsid w:val="00661CF9"/>
    <w:rsid w:val="00662658"/>
    <w:rsid w:val="006635FC"/>
    <w:rsid w:val="00664F3C"/>
    <w:rsid w:val="00665B58"/>
    <w:rsid w:val="00665BC8"/>
    <w:rsid w:val="00666360"/>
    <w:rsid w:val="00670191"/>
    <w:rsid w:val="00670303"/>
    <w:rsid w:val="00670E9D"/>
    <w:rsid w:val="00670ED4"/>
    <w:rsid w:val="00672728"/>
    <w:rsid w:val="0067274E"/>
    <w:rsid w:val="0067284C"/>
    <w:rsid w:val="006730F0"/>
    <w:rsid w:val="00673144"/>
    <w:rsid w:val="00673993"/>
    <w:rsid w:val="006746EB"/>
    <w:rsid w:val="00675532"/>
    <w:rsid w:val="00675571"/>
    <w:rsid w:val="00677E51"/>
    <w:rsid w:val="006809F7"/>
    <w:rsid w:val="00680AD7"/>
    <w:rsid w:val="00681430"/>
    <w:rsid w:val="0068155C"/>
    <w:rsid w:val="00681D90"/>
    <w:rsid w:val="00682C59"/>
    <w:rsid w:val="00683043"/>
    <w:rsid w:val="00683810"/>
    <w:rsid w:val="00684BD6"/>
    <w:rsid w:val="00684D6A"/>
    <w:rsid w:val="00684F56"/>
    <w:rsid w:val="006850AA"/>
    <w:rsid w:val="0068510A"/>
    <w:rsid w:val="00686345"/>
    <w:rsid w:val="0068696A"/>
    <w:rsid w:val="006869F8"/>
    <w:rsid w:val="00687C9D"/>
    <w:rsid w:val="0069044D"/>
    <w:rsid w:val="006907A8"/>
    <w:rsid w:val="00691131"/>
    <w:rsid w:val="00691AC9"/>
    <w:rsid w:val="00692417"/>
    <w:rsid w:val="00692490"/>
    <w:rsid w:val="00692A1E"/>
    <w:rsid w:val="006935CA"/>
    <w:rsid w:val="00693699"/>
    <w:rsid w:val="00694682"/>
    <w:rsid w:val="006947AC"/>
    <w:rsid w:val="00695C3A"/>
    <w:rsid w:val="00696386"/>
    <w:rsid w:val="00697879"/>
    <w:rsid w:val="006A141E"/>
    <w:rsid w:val="006A1537"/>
    <w:rsid w:val="006A1E69"/>
    <w:rsid w:val="006A2EC0"/>
    <w:rsid w:val="006A2FB5"/>
    <w:rsid w:val="006A3177"/>
    <w:rsid w:val="006A3418"/>
    <w:rsid w:val="006A3875"/>
    <w:rsid w:val="006A49F6"/>
    <w:rsid w:val="006A4D7F"/>
    <w:rsid w:val="006A627C"/>
    <w:rsid w:val="006A73DA"/>
    <w:rsid w:val="006A7AD4"/>
    <w:rsid w:val="006A7DD7"/>
    <w:rsid w:val="006B0080"/>
    <w:rsid w:val="006B04AD"/>
    <w:rsid w:val="006B1517"/>
    <w:rsid w:val="006B2A47"/>
    <w:rsid w:val="006B2AE5"/>
    <w:rsid w:val="006B3B58"/>
    <w:rsid w:val="006B5F8F"/>
    <w:rsid w:val="006B6051"/>
    <w:rsid w:val="006B6EEB"/>
    <w:rsid w:val="006B7118"/>
    <w:rsid w:val="006B72AA"/>
    <w:rsid w:val="006B7D35"/>
    <w:rsid w:val="006B7EBD"/>
    <w:rsid w:val="006C0933"/>
    <w:rsid w:val="006C13B1"/>
    <w:rsid w:val="006C1734"/>
    <w:rsid w:val="006C726F"/>
    <w:rsid w:val="006D35B5"/>
    <w:rsid w:val="006D434A"/>
    <w:rsid w:val="006D44A1"/>
    <w:rsid w:val="006D4E93"/>
    <w:rsid w:val="006D5CF3"/>
    <w:rsid w:val="006D5DA2"/>
    <w:rsid w:val="006D625E"/>
    <w:rsid w:val="006D734D"/>
    <w:rsid w:val="006D76D8"/>
    <w:rsid w:val="006E0BE1"/>
    <w:rsid w:val="006E18CC"/>
    <w:rsid w:val="006E1A65"/>
    <w:rsid w:val="006E2F6C"/>
    <w:rsid w:val="006E3583"/>
    <w:rsid w:val="006E398D"/>
    <w:rsid w:val="006E3C28"/>
    <w:rsid w:val="006E46E0"/>
    <w:rsid w:val="006E4881"/>
    <w:rsid w:val="006E6AA4"/>
    <w:rsid w:val="006E6B8D"/>
    <w:rsid w:val="006E6BA1"/>
    <w:rsid w:val="006E6BB7"/>
    <w:rsid w:val="006E70CD"/>
    <w:rsid w:val="006E72BC"/>
    <w:rsid w:val="006E787D"/>
    <w:rsid w:val="006E78E7"/>
    <w:rsid w:val="006F0A4D"/>
    <w:rsid w:val="006F0C28"/>
    <w:rsid w:val="006F11DB"/>
    <w:rsid w:val="006F273E"/>
    <w:rsid w:val="006F33E5"/>
    <w:rsid w:val="006F39BF"/>
    <w:rsid w:val="006F3CB4"/>
    <w:rsid w:val="006F4774"/>
    <w:rsid w:val="006F4BF0"/>
    <w:rsid w:val="006F5615"/>
    <w:rsid w:val="006F60B8"/>
    <w:rsid w:val="00701ECC"/>
    <w:rsid w:val="007021B7"/>
    <w:rsid w:val="0070284D"/>
    <w:rsid w:val="00703535"/>
    <w:rsid w:val="00703AB3"/>
    <w:rsid w:val="00703C45"/>
    <w:rsid w:val="007055F6"/>
    <w:rsid w:val="007058EE"/>
    <w:rsid w:val="0070627F"/>
    <w:rsid w:val="007072C8"/>
    <w:rsid w:val="00707D6C"/>
    <w:rsid w:val="00711CA6"/>
    <w:rsid w:val="007124BA"/>
    <w:rsid w:val="00713DC6"/>
    <w:rsid w:val="00714BE4"/>
    <w:rsid w:val="00715571"/>
    <w:rsid w:val="00715AFF"/>
    <w:rsid w:val="00720C65"/>
    <w:rsid w:val="007211F7"/>
    <w:rsid w:val="007224D4"/>
    <w:rsid w:val="0072485D"/>
    <w:rsid w:val="00724F26"/>
    <w:rsid w:val="00726F82"/>
    <w:rsid w:val="00726F9C"/>
    <w:rsid w:val="0072751B"/>
    <w:rsid w:val="0072780F"/>
    <w:rsid w:val="00727D3A"/>
    <w:rsid w:val="0073062C"/>
    <w:rsid w:val="00730CB6"/>
    <w:rsid w:val="00731E8E"/>
    <w:rsid w:val="007323B7"/>
    <w:rsid w:val="007324D5"/>
    <w:rsid w:val="0073284D"/>
    <w:rsid w:val="007341DA"/>
    <w:rsid w:val="0073505E"/>
    <w:rsid w:val="0073626D"/>
    <w:rsid w:val="00736384"/>
    <w:rsid w:val="00741270"/>
    <w:rsid w:val="00741717"/>
    <w:rsid w:val="007424BD"/>
    <w:rsid w:val="00742FBF"/>
    <w:rsid w:val="00743385"/>
    <w:rsid w:val="007438D6"/>
    <w:rsid w:val="00744188"/>
    <w:rsid w:val="0074458E"/>
    <w:rsid w:val="00744D22"/>
    <w:rsid w:val="00744DBD"/>
    <w:rsid w:val="007468CE"/>
    <w:rsid w:val="0074692B"/>
    <w:rsid w:val="0074750C"/>
    <w:rsid w:val="00747A2E"/>
    <w:rsid w:val="00747BFF"/>
    <w:rsid w:val="00747CE8"/>
    <w:rsid w:val="00747EBA"/>
    <w:rsid w:val="00750BC1"/>
    <w:rsid w:val="00750CB3"/>
    <w:rsid w:val="00751188"/>
    <w:rsid w:val="0075131A"/>
    <w:rsid w:val="00751432"/>
    <w:rsid w:val="007514CF"/>
    <w:rsid w:val="00751720"/>
    <w:rsid w:val="00751B98"/>
    <w:rsid w:val="0075336D"/>
    <w:rsid w:val="00754061"/>
    <w:rsid w:val="007544F7"/>
    <w:rsid w:val="00754803"/>
    <w:rsid w:val="007575C4"/>
    <w:rsid w:val="00761A6F"/>
    <w:rsid w:val="0076203C"/>
    <w:rsid w:val="00762266"/>
    <w:rsid w:val="007622A8"/>
    <w:rsid w:val="00762EA0"/>
    <w:rsid w:val="00763ABB"/>
    <w:rsid w:val="00763C00"/>
    <w:rsid w:val="0076484B"/>
    <w:rsid w:val="00764966"/>
    <w:rsid w:val="00764BB9"/>
    <w:rsid w:val="00765E6D"/>
    <w:rsid w:val="00766E1B"/>
    <w:rsid w:val="007670B7"/>
    <w:rsid w:val="00767A24"/>
    <w:rsid w:val="00767A28"/>
    <w:rsid w:val="00767A34"/>
    <w:rsid w:val="00767CDD"/>
    <w:rsid w:val="00770182"/>
    <w:rsid w:val="0077041D"/>
    <w:rsid w:val="007717D7"/>
    <w:rsid w:val="00771F28"/>
    <w:rsid w:val="007725E9"/>
    <w:rsid w:val="007768D8"/>
    <w:rsid w:val="00776F38"/>
    <w:rsid w:val="007772BE"/>
    <w:rsid w:val="007772C8"/>
    <w:rsid w:val="007804A8"/>
    <w:rsid w:val="00781ECA"/>
    <w:rsid w:val="007824D0"/>
    <w:rsid w:val="007830BA"/>
    <w:rsid w:val="00783787"/>
    <w:rsid w:val="00784058"/>
    <w:rsid w:val="00784A5A"/>
    <w:rsid w:val="00784C4C"/>
    <w:rsid w:val="00786B52"/>
    <w:rsid w:val="007870BE"/>
    <w:rsid w:val="00790F68"/>
    <w:rsid w:val="00791E9C"/>
    <w:rsid w:val="00792164"/>
    <w:rsid w:val="00792F66"/>
    <w:rsid w:val="00793B57"/>
    <w:rsid w:val="00793CBE"/>
    <w:rsid w:val="007946DB"/>
    <w:rsid w:val="00796AA4"/>
    <w:rsid w:val="00796F9C"/>
    <w:rsid w:val="00797D40"/>
    <w:rsid w:val="007A012D"/>
    <w:rsid w:val="007A0CAC"/>
    <w:rsid w:val="007A0E52"/>
    <w:rsid w:val="007A0F25"/>
    <w:rsid w:val="007A179D"/>
    <w:rsid w:val="007A1964"/>
    <w:rsid w:val="007A260F"/>
    <w:rsid w:val="007A2E23"/>
    <w:rsid w:val="007A3F30"/>
    <w:rsid w:val="007A402D"/>
    <w:rsid w:val="007A4566"/>
    <w:rsid w:val="007A4E66"/>
    <w:rsid w:val="007A522E"/>
    <w:rsid w:val="007B01B8"/>
    <w:rsid w:val="007B0563"/>
    <w:rsid w:val="007B1FC0"/>
    <w:rsid w:val="007B21F6"/>
    <w:rsid w:val="007B2431"/>
    <w:rsid w:val="007B4CDB"/>
    <w:rsid w:val="007B5813"/>
    <w:rsid w:val="007B5861"/>
    <w:rsid w:val="007B603C"/>
    <w:rsid w:val="007B7845"/>
    <w:rsid w:val="007B7B69"/>
    <w:rsid w:val="007C0018"/>
    <w:rsid w:val="007C1720"/>
    <w:rsid w:val="007C1937"/>
    <w:rsid w:val="007C1A22"/>
    <w:rsid w:val="007C238A"/>
    <w:rsid w:val="007C2583"/>
    <w:rsid w:val="007C2755"/>
    <w:rsid w:val="007C2B93"/>
    <w:rsid w:val="007C3459"/>
    <w:rsid w:val="007C351A"/>
    <w:rsid w:val="007C4F02"/>
    <w:rsid w:val="007C524D"/>
    <w:rsid w:val="007C55EF"/>
    <w:rsid w:val="007C59BC"/>
    <w:rsid w:val="007C5F99"/>
    <w:rsid w:val="007C6072"/>
    <w:rsid w:val="007C610E"/>
    <w:rsid w:val="007D0269"/>
    <w:rsid w:val="007D1235"/>
    <w:rsid w:val="007D164F"/>
    <w:rsid w:val="007D27E2"/>
    <w:rsid w:val="007D29D2"/>
    <w:rsid w:val="007D3D18"/>
    <w:rsid w:val="007D3D5D"/>
    <w:rsid w:val="007D3DC0"/>
    <w:rsid w:val="007D4B04"/>
    <w:rsid w:val="007D5C19"/>
    <w:rsid w:val="007D660D"/>
    <w:rsid w:val="007D6DDF"/>
    <w:rsid w:val="007D70BF"/>
    <w:rsid w:val="007D736E"/>
    <w:rsid w:val="007E047A"/>
    <w:rsid w:val="007E0AE2"/>
    <w:rsid w:val="007E1265"/>
    <w:rsid w:val="007E25F8"/>
    <w:rsid w:val="007E29C4"/>
    <w:rsid w:val="007E2A39"/>
    <w:rsid w:val="007E2E1C"/>
    <w:rsid w:val="007E4831"/>
    <w:rsid w:val="007E4993"/>
    <w:rsid w:val="007E5F05"/>
    <w:rsid w:val="007E775A"/>
    <w:rsid w:val="007F02B0"/>
    <w:rsid w:val="007F3334"/>
    <w:rsid w:val="007F3462"/>
    <w:rsid w:val="007F3D01"/>
    <w:rsid w:val="007F56D1"/>
    <w:rsid w:val="007F60AE"/>
    <w:rsid w:val="007F735B"/>
    <w:rsid w:val="007F749B"/>
    <w:rsid w:val="007F754A"/>
    <w:rsid w:val="007F75D8"/>
    <w:rsid w:val="007F7DD6"/>
    <w:rsid w:val="008013FE"/>
    <w:rsid w:val="00801CCB"/>
    <w:rsid w:val="00802CDB"/>
    <w:rsid w:val="008037DA"/>
    <w:rsid w:val="00803AB0"/>
    <w:rsid w:val="008051C1"/>
    <w:rsid w:val="0080528F"/>
    <w:rsid w:val="008058A5"/>
    <w:rsid w:val="00806732"/>
    <w:rsid w:val="0080726B"/>
    <w:rsid w:val="00807A16"/>
    <w:rsid w:val="008100A3"/>
    <w:rsid w:val="00810783"/>
    <w:rsid w:val="008109DF"/>
    <w:rsid w:val="008119B7"/>
    <w:rsid w:val="008131E7"/>
    <w:rsid w:val="00813B33"/>
    <w:rsid w:val="0081443D"/>
    <w:rsid w:val="008149A8"/>
    <w:rsid w:val="00814C51"/>
    <w:rsid w:val="00815776"/>
    <w:rsid w:val="008160B8"/>
    <w:rsid w:val="00816662"/>
    <w:rsid w:val="00816865"/>
    <w:rsid w:val="00816B2C"/>
    <w:rsid w:val="00817865"/>
    <w:rsid w:val="00817C47"/>
    <w:rsid w:val="00817C86"/>
    <w:rsid w:val="008200BE"/>
    <w:rsid w:val="00820E6D"/>
    <w:rsid w:val="00821DF8"/>
    <w:rsid w:val="008222D3"/>
    <w:rsid w:val="00822B4E"/>
    <w:rsid w:val="00823D6F"/>
    <w:rsid w:val="008248C6"/>
    <w:rsid w:val="00824BFE"/>
    <w:rsid w:val="00825532"/>
    <w:rsid w:val="008268AC"/>
    <w:rsid w:val="00826AD4"/>
    <w:rsid w:val="0082743C"/>
    <w:rsid w:val="008276D6"/>
    <w:rsid w:val="00830BAA"/>
    <w:rsid w:val="0083188E"/>
    <w:rsid w:val="008329EF"/>
    <w:rsid w:val="00833A37"/>
    <w:rsid w:val="008358D2"/>
    <w:rsid w:val="00835A48"/>
    <w:rsid w:val="008368AA"/>
    <w:rsid w:val="00836A68"/>
    <w:rsid w:val="00836D74"/>
    <w:rsid w:val="00836F11"/>
    <w:rsid w:val="008370D6"/>
    <w:rsid w:val="008371BE"/>
    <w:rsid w:val="00837D7A"/>
    <w:rsid w:val="00840B7E"/>
    <w:rsid w:val="008414E1"/>
    <w:rsid w:val="008424D8"/>
    <w:rsid w:val="00842952"/>
    <w:rsid w:val="00843CCB"/>
    <w:rsid w:val="00844118"/>
    <w:rsid w:val="00844554"/>
    <w:rsid w:val="00846423"/>
    <w:rsid w:val="00847BDF"/>
    <w:rsid w:val="00850406"/>
    <w:rsid w:val="00850AA7"/>
    <w:rsid w:val="00850DF7"/>
    <w:rsid w:val="00852414"/>
    <w:rsid w:val="00852EDC"/>
    <w:rsid w:val="00853FCE"/>
    <w:rsid w:val="008549B6"/>
    <w:rsid w:val="00855BFA"/>
    <w:rsid w:val="0085651A"/>
    <w:rsid w:val="00856CB5"/>
    <w:rsid w:val="00857073"/>
    <w:rsid w:val="00860836"/>
    <w:rsid w:val="0086134F"/>
    <w:rsid w:val="00861818"/>
    <w:rsid w:val="00861C2D"/>
    <w:rsid w:val="00861C68"/>
    <w:rsid w:val="008621CF"/>
    <w:rsid w:val="00864179"/>
    <w:rsid w:val="00864828"/>
    <w:rsid w:val="0086516D"/>
    <w:rsid w:val="00865353"/>
    <w:rsid w:val="0086639F"/>
    <w:rsid w:val="00867EA1"/>
    <w:rsid w:val="0087070B"/>
    <w:rsid w:val="00871C26"/>
    <w:rsid w:val="00872156"/>
    <w:rsid w:val="0087239C"/>
    <w:rsid w:val="0087275B"/>
    <w:rsid w:val="00872D41"/>
    <w:rsid w:val="00873105"/>
    <w:rsid w:val="00874763"/>
    <w:rsid w:val="008749DF"/>
    <w:rsid w:val="00874EB6"/>
    <w:rsid w:val="00875123"/>
    <w:rsid w:val="008758CD"/>
    <w:rsid w:val="00875902"/>
    <w:rsid w:val="00875FA2"/>
    <w:rsid w:val="00876838"/>
    <w:rsid w:val="00877190"/>
    <w:rsid w:val="00881ADD"/>
    <w:rsid w:val="00881CB3"/>
    <w:rsid w:val="0088216B"/>
    <w:rsid w:val="00883DD8"/>
    <w:rsid w:val="00884946"/>
    <w:rsid w:val="00884A48"/>
    <w:rsid w:val="00885BDE"/>
    <w:rsid w:val="00887C2F"/>
    <w:rsid w:val="008900A2"/>
    <w:rsid w:val="008906D1"/>
    <w:rsid w:val="00890801"/>
    <w:rsid w:val="008918FF"/>
    <w:rsid w:val="0089250A"/>
    <w:rsid w:val="00892B57"/>
    <w:rsid w:val="0089453B"/>
    <w:rsid w:val="00894F7F"/>
    <w:rsid w:val="00897DA4"/>
    <w:rsid w:val="008A0BF3"/>
    <w:rsid w:val="008A1721"/>
    <w:rsid w:val="008A272E"/>
    <w:rsid w:val="008A2B7A"/>
    <w:rsid w:val="008A3828"/>
    <w:rsid w:val="008A426C"/>
    <w:rsid w:val="008A7027"/>
    <w:rsid w:val="008A7245"/>
    <w:rsid w:val="008B0BA7"/>
    <w:rsid w:val="008B0E3A"/>
    <w:rsid w:val="008B206A"/>
    <w:rsid w:val="008B230C"/>
    <w:rsid w:val="008B282C"/>
    <w:rsid w:val="008B3987"/>
    <w:rsid w:val="008B41EB"/>
    <w:rsid w:val="008B4CF5"/>
    <w:rsid w:val="008B59E8"/>
    <w:rsid w:val="008B5AF2"/>
    <w:rsid w:val="008B6056"/>
    <w:rsid w:val="008B60B3"/>
    <w:rsid w:val="008B748A"/>
    <w:rsid w:val="008B75E8"/>
    <w:rsid w:val="008B7DD7"/>
    <w:rsid w:val="008C0138"/>
    <w:rsid w:val="008C02B4"/>
    <w:rsid w:val="008C049A"/>
    <w:rsid w:val="008C075C"/>
    <w:rsid w:val="008C0ADC"/>
    <w:rsid w:val="008C0B44"/>
    <w:rsid w:val="008C0C66"/>
    <w:rsid w:val="008C1E23"/>
    <w:rsid w:val="008C1F92"/>
    <w:rsid w:val="008C24DF"/>
    <w:rsid w:val="008C2602"/>
    <w:rsid w:val="008C30A5"/>
    <w:rsid w:val="008C315B"/>
    <w:rsid w:val="008C3B70"/>
    <w:rsid w:val="008C4065"/>
    <w:rsid w:val="008C486B"/>
    <w:rsid w:val="008C4AB3"/>
    <w:rsid w:val="008C4B26"/>
    <w:rsid w:val="008C501B"/>
    <w:rsid w:val="008C5307"/>
    <w:rsid w:val="008C5B9C"/>
    <w:rsid w:val="008C5E38"/>
    <w:rsid w:val="008C6633"/>
    <w:rsid w:val="008C71C6"/>
    <w:rsid w:val="008C77B9"/>
    <w:rsid w:val="008D1662"/>
    <w:rsid w:val="008D1754"/>
    <w:rsid w:val="008D1A31"/>
    <w:rsid w:val="008D27B2"/>
    <w:rsid w:val="008D36A9"/>
    <w:rsid w:val="008D43D3"/>
    <w:rsid w:val="008D47A7"/>
    <w:rsid w:val="008D4B4B"/>
    <w:rsid w:val="008D64C6"/>
    <w:rsid w:val="008D699F"/>
    <w:rsid w:val="008D77FF"/>
    <w:rsid w:val="008D7E37"/>
    <w:rsid w:val="008D7F31"/>
    <w:rsid w:val="008E0371"/>
    <w:rsid w:val="008E08A1"/>
    <w:rsid w:val="008E15CA"/>
    <w:rsid w:val="008E1F59"/>
    <w:rsid w:val="008E4DC7"/>
    <w:rsid w:val="008E4DD8"/>
    <w:rsid w:val="008E7E79"/>
    <w:rsid w:val="008E7FEA"/>
    <w:rsid w:val="008F1435"/>
    <w:rsid w:val="008F2032"/>
    <w:rsid w:val="008F219B"/>
    <w:rsid w:val="008F2296"/>
    <w:rsid w:val="008F3841"/>
    <w:rsid w:val="008F467C"/>
    <w:rsid w:val="008F537B"/>
    <w:rsid w:val="008F563F"/>
    <w:rsid w:val="008F61A5"/>
    <w:rsid w:val="008F6B16"/>
    <w:rsid w:val="008F6C21"/>
    <w:rsid w:val="008F6D93"/>
    <w:rsid w:val="008F788E"/>
    <w:rsid w:val="008F7FD9"/>
    <w:rsid w:val="009015CD"/>
    <w:rsid w:val="009022AF"/>
    <w:rsid w:val="00902670"/>
    <w:rsid w:val="00903CCC"/>
    <w:rsid w:val="0090404C"/>
    <w:rsid w:val="00904AC9"/>
    <w:rsid w:val="00904CFA"/>
    <w:rsid w:val="0090533E"/>
    <w:rsid w:val="00905AD2"/>
    <w:rsid w:val="009061A1"/>
    <w:rsid w:val="0090651E"/>
    <w:rsid w:val="00906CE1"/>
    <w:rsid w:val="0090711E"/>
    <w:rsid w:val="0090774B"/>
    <w:rsid w:val="0091058D"/>
    <w:rsid w:val="009107CC"/>
    <w:rsid w:val="00910B81"/>
    <w:rsid w:val="00913014"/>
    <w:rsid w:val="009138B4"/>
    <w:rsid w:val="00913E5E"/>
    <w:rsid w:val="00914117"/>
    <w:rsid w:val="009145ED"/>
    <w:rsid w:val="0091575D"/>
    <w:rsid w:val="00915A1E"/>
    <w:rsid w:val="00916372"/>
    <w:rsid w:val="00917479"/>
    <w:rsid w:val="0091787C"/>
    <w:rsid w:val="00920840"/>
    <w:rsid w:val="00921092"/>
    <w:rsid w:val="009213CF"/>
    <w:rsid w:val="00921A9A"/>
    <w:rsid w:val="00921B8A"/>
    <w:rsid w:val="00921BC8"/>
    <w:rsid w:val="00921D5C"/>
    <w:rsid w:val="009225DB"/>
    <w:rsid w:val="00922C6C"/>
    <w:rsid w:val="00924595"/>
    <w:rsid w:val="009246EE"/>
    <w:rsid w:val="00926A07"/>
    <w:rsid w:val="00926F7B"/>
    <w:rsid w:val="009302E2"/>
    <w:rsid w:val="00931992"/>
    <w:rsid w:val="00932B54"/>
    <w:rsid w:val="00932C18"/>
    <w:rsid w:val="00932D8E"/>
    <w:rsid w:val="0093469B"/>
    <w:rsid w:val="00934E78"/>
    <w:rsid w:val="00935713"/>
    <w:rsid w:val="00937F8E"/>
    <w:rsid w:val="009401BF"/>
    <w:rsid w:val="009406D2"/>
    <w:rsid w:val="00942470"/>
    <w:rsid w:val="00942841"/>
    <w:rsid w:val="00943278"/>
    <w:rsid w:val="00943A5B"/>
    <w:rsid w:val="00943A90"/>
    <w:rsid w:val="00943BFA"/>
    <w:rsid w:val="0094530F"/>
    <w:rsid w:val="00945821"/>
    <w:rsid w:val="00945848"/>
    <w:rsid w:val="009458CA"/>
    <w:rsid w:val="00945F92"/>
    <w:rsid w:val="00946397"/>
    <w:rsid w:val="009466CD"/>
    <w:rsid w:val="00946EBB"/>
    <w:rsid w:val="009508F3"/>
    <w:rsid w:val="00950916"/>
    <w:rsid w:val="00950D5C"/>
    <w:rsid w:val="009526F5"/>
    <w:rsid w:val="009539C6"/>
    <w:rsid w:val="00953BC9"/>
    <w:rsid w:val="00953DC5"/>
    <w:rsid w:val="00953E06"/>
    <w:rsid w:val="00954E5F"/>
    <w:rsid w:val="00954F7D"/>
    <w:rsid w:val="0095553C"/>
    <w:rsid w:val="00960223"/>
    <w:rsid w:val="0096022E"/>
    <w:rsid w:val="00960412"/>
    <w:rsid w:val="0096043C"/>
    <w:rsid w:val="00961519"/>
    <w:rsid w:val="00963F9F"/>
    <w:rsid w:val="0096413C"/>
    <w:rsid w:val="00965600"/>
    <w:rsid w:val="009662CB"/>
    <w:rsid w:val="00966341"/>
    <w:rsid w:val="00966439"/>
    <w:rsid w:val="009665E2"/>
    <w:rsid w:val="0096665A"/>
    <w:rsid w:val="00966855"/>
    <w:rsid w:val="009673FC"/>
    <w:rsid w:val="00967530"/>
    <w:rsid w:val="009679A8"/>
    <w:rsid w:val="00967CFD"/>
    <w:rsid w:val="009707E6"/>
    <w:rsid w:val="0097088A"/>
    <w:rsid w:val="00970CD5"/>
    <w:rsid w:val="009721D6"/>
    <w:rsid w:val="009730D1"/>
    <w:rsid w:val="00973468"/>
    <w:rsid w:val="00974325"/>
    <w:rsid w:val="009754AF"/>
    <w:rsid w:val="009757DB"/>
    <w:rsid w:val="00975C7B"/>
    <w:rsid w:val="00980135"/>
    <w:rsid w:val="00980AA7"/>
    <w:rsid w:val="00980B6E"/>
    <w:rsid w:val="00981563"/>
    <w:rsid w:val="00983C16"/>
    <w:rsid w:val="00984AD7"/>
    <w:rsid w:val="009853DD"/>
    <w:rsid w:val="00985745"/>
    <w:rsid w:val="00985EB6"/>
    <w:rsid w:val="00986150"/>
    <w:rsid w:val="00986ED4"/>
    <w:rsid w:val="00987AA5"/>
    <w:rsid w:val="009914FE"/>
    <w:rsid w:val="009915AC"/>
    <w:rsid w:val="00991627"/>
    <w:rsid w:val="0099385F"/>
    <w:rsid w:val="0099495F"/>
    <w:rsid w:val="00994AC2"/>
    <w:rsid w:val="00994D59"/>
    <w:rsid w:val="0099513E"/>
    <w:rsid w:val="009A0F80"/>
    <w:rsid w:val="009A1004"/>
    <w:rsid w:val="009A22CC"/>
    <w:rsid w:val="009A266B"/>
    <w:rsid w:val="009A2A71"/>
    <w:rsid w:val="009A2F4D"/>
    <w:rsid w:val="009A3AD4"/>
    <w:rsid w:val="009A551C"/>
    <w:rsid w:val="009A5A3C"/>
    <w:rsid w:val="009B0436"/>
    <w:rsid w:val="009B1331"/>
    <w:rsid w:val="009B5ED6"/>
    <w:rsid w:val="009B6642"/>
    <w:rsid w:val="009B76CF"/>
    <w:rsid w:val="009B7923"/>
    <w:rsid w:val="009B7E4D"/>
    <w:rsid w:val="009C1BCC"/>
    <w:rsid w:val="009C2E9F"/>
    <w:rsid w:val="009C316F"/>
    <w:rsid w:val="009C3AC6"/>
    <w:rsid w:val="009C4E91"/>
    <w:rsid w:val="009C5792"/>
    <w:rsid w:val="009C6446"/>
    <w:rsid w:val="009C68EB"/>
    <w:rsid w:val="009C6930"/>
    <w:rsid w:val="009C77F8"/>
    <w:rsid w:val="009C7948"/>
    <w:rsid w:val="009D0A52"/>
    <w:rsid w:val="009D0E51"/>
    <w:rsid w:val="009D0F7D"/>
    <w:rsid w:val="009D0FD5"/>
    <w:rsid w:val="009D2313"/>
    <w:rsid w:val="009D2938"/>
    <w:rsid w:val="009D3C75"/>
    <w:rsid w:val="009D4549"/>
    <w:rsid w:val="009D4E0F"/>
    <w:rsid w:val="009D5160"/>
    <w:rsid w:val="009D5190"/>
    <w:rsid w:val="009D697E"/>
    <w:rsid w:val="009D72C7"/>
    <w:rsid w:val="009D7480"/>
    <w:rsid w:val="009E2BD3"/>
    <w:rsid w:val="009E522C"/>
    <w:rsid w:val="009F0186"/>
    <w:rsid w:val="009F11E1"/>
    <w:rsid w:val="009F3A19"/>
    <w:rsid w:val="009F450D"/>
    <w:rsid w:val="009F54CC"/>
    <w:rsid w:val="009F5CB2"/>
    <w:rsid w:val="009F7273"/>
    <w:rsid w:val="00A0027B"/>
    <w:rsid w:val="00A010C1"/>
    <w:rsid w:val="00A01752"/>
    <w:rsid w:val="00A02DEC"/>
    <w:rsid w:val="00A04E70"/>
    <w:rsid w:val="00A05FEA"/>
    <w:rsid w:val="00A06B19"/>
    <w:rsid w:val="00A07099"/>
    <w:rsid w:val="00A12074"/>
    <w:rsid w:val="00A14680"/>
    <w:rsid w:val="00A16556"/>
    <w:rsid w:val="00A165B6"/>
    <w:rsid w:val="00A16AFB"/>
    <w:rsid w:val="00A178FF"/>
    <w:rsid w:val="00A213A5"/>
    <w:rsid w:val="00A218A6"/>
    <w:rsid w:val="00A21D89"/>
    <w:rsid w:val="00A2218F"/>
    <w:rsid w:val="00A22898"/>
    <w:rsid w:val="00A23A4A"/>
    <w:rsid w:val="00A23FE6"/>
    <w:rsid w:val="00A246DE"/>
    <w:rsid w:val="00A25258"/>
    <w:rsid w:val="00A25B25"/>
    <w:rsid w:val="00A27EED"/>
    <w:rsid w:val="00A31B39"/>
    <w:rsid w:val="00A3210F"/>
    <w:rsid w:val="00A34418"/>
    <w:rsid w:val="00A3482E"/>
    <w:rsid w:val="00A35E0B"/>
    <w:rsid w:val="00A36506"/>
    <w:rsid w:val="00A40255"/>
    <w:rsid w:val="00A402A3"/>
    <w:rsid w:val="00A41153"/>
    <w:rsid w:val="00A417E9"/>
    <w:rsid w:val="00A41A2B"/>
    <w:rsid w:val="00A4209F"/>
    <w:rsid w:val="00A42418"/>
    <w:rsid w:val="00A4282F"/>
    <w:rsid w:val="00A437B0"/>
    <w:rsid w:val="00A442A9"/>
    <w:rsid w:val="00A4468F"/>
    <w:rsid w:val="00A452DE"/>
    <w:rsid w:val="00A479BA"/>
    <w:rsid w:val="00A50160"/>
    <w:rsid w:val="00A50D08"/>
    <w:rsid w:val="00A53564"/>
    <w:rsid w:val="00A54C5B"/>
    <w:rsid w:val="00A54FCC"/>
    <w:rsid w:val="00A568AA"/>
    <w:rsid w:val="00A56CFE"/>
    <w:rsid w:val="00A57CAE"/>
    <w:rsid w:val="00A62FC4"/>
    <w:rsid w:val="00A63024"/>
    <w:rsid w:val="00A63430"/>
    <w:rsid w:val="00A63932"/>
    <w:rsid w:val="00A6593B"/>
    <w:rsid w:val="00A65A90"/>
    <w:rsid w:val="00A671CF"/>
    <w:rsid w:val="00A672D7"/>
    <w:rsid w:val="00A67BDF"/>
    <w:rsid w:val="00A67C2E"/>
    <w:rsid w:val="00A67EE9"/>
    <w:rsid w:val="00A71941"/>
    <w:rsid w:val="00A71FF5"/>
    <w:rsid w:val="00A7240D"/>
    <w:rsid w:val="00A727C3"/>
    <w:rsid w:val="00A72E2E"/>
    <w:rsid w:val="00A76C74"/>
    <w:rsid w:val="00A801AB"/>
    <w:rsid w:val="00A8065F"/>
    <w:rsid w:val="00A80A13"/>
    <w:rsid w:val="00A811AE"/>
    <w:rsid w:val="00A818E2"/>
    <w:rsid w:val="00A81B5F"/>
    <w:rsid w:val="00A83E13"/>
    <w:rsid w:val="00A84954"/>
    <w:rsid w:val="00A84BDC"/>
    <w:rsid w:val="00A84D87"/>
    <w:rsid w:val="00A84F02"/>
    <w:rsid w:val="00A8737A"/>
    <w:rsid w:val="00A91DAB"/>
    <w:rsid w:val="00A91F2E"/>
    <w:rsid w:val="00A921E3"/>
    <w:rsid w:val="00A92462"/>
    <w:rsid w:val="00A937D4"/>
    <w:rsid w:val="00A93D6A"/>
    <w:rsid w:val="00A94093"/>
    <w:rsid w:val="00A94BC4"/>
    <w:rsid w:val="00A95469"/>
    <w:rsid w:val="00A95713"/>
    <w:rsid w:val="00A95E19"/>
    <w:rsid w:val="00A95F7B"/>
    <w:rsid w:val="00A97243"/>
    <w:rsid w:val="00AA147D"/>
    <w:rsid w:val="00AA18AD"/>
    <w:rsid w:val="00AA18E5"/>
    <w:rsid w:val="00AA1C96"/>
    <w:rsid w:val="00AA3614"/>
    <w:rsid w:val="00AA4083"/>
    <w:rsid w:val="00AA47C3"/>
    <w:rsid w:val="00AA54A5"/>
    <w:rsid w:val="00AA6859"/>
    <w:rsid w:val="00AA6CFB"/>
    <w:rsid w:val="00AA6E7A"/>
    <w:rsid w:val="00AA712B"/>
    <w:rsid w:val="00AA77B8"/>
    <w:rsid w:val="00AA7989"/>
    <w:rsid w:val="00AB025C"/>
    <w:rsid w:val="00AB0540"/>
    <w:rsid w:val="00AB06EB"/>
    <w:rsid w:val="00AB0E0C"/>
    <w:rsid w:val="00AB1608"/>
    <w:rsid w:val="00AB33D8"/>
    <w:rsid w:val="00AB3506"/>
    <w:rsid w:val="00AB49DB"/>
    <w:rsid w:val="00AB4AB5"/>
    <w:rsid w:val="00AB5702"/>
    <w:rsid w:val="00AB69FD"/>
    <w:rsid w:val="00AB799A"/>
    <w:rsid w:val="00AC199A"/>
    <w:rsid w:val="00AC3BC0"/>
    <w:rsid w:val="00AC4EF5"/>
    <w:rsid w:val="00AC6D59"/>
    <w:rsid w:val="00AC7430"/>
    <w:rsid w:val="00AC7723"/>
    <w:rsid w:val="00AC7D7B"/>
    <w:rsid w:val="00AD0E4B"/>
    <w:rsid w:val="00AD157B"/>
    <w:rsid w:val="00AD2124"/>
    <w:rsid w:val="00AD2937"/>
    <w:rsid w:val="00AD3BCB"/>
    <w:rsid w:val="00AD4490"/>
    <w:rsid w:val="00AD4D7E"/>
    <w:rsid w:val="00AD514A"/>
    <w:rsid w:val="00AD5FF4"/>
    <w:rsid w:val="00AE032F"/>
    <w:rsid w:val="00AE05E1"/>
    <w:rsid w:val="00AE0CEA"/>
    <w:rsid w:val="00AE1548"/>
    <w:rsid w:val="00AE170A"/>
    <w:rsid w:val="00AE1A4B"/>
    <w:rsid w:val="00AE2DE0"/>
    <w:rsid w:val="00AE472A"/>
    <w:rsid w:val="00AE4B3E"/>
    <w:rsid w:val="00AE50B3"/>
    <w:rsid w:val="00AE5A6B"/>
    <w:rsid w:val="00AE630B"/>
    <w:rsid w:val="00AE6DE9"/>
    <w:rsid w:val="00AE763F"/>
    <w:rsid w:val="00AF0D34"/>
    <w:rsid w:val="00AF1515"/>
    <w:rsid w:val="00AF2997"/>
    <w:rsid w:val="00AF5B98"/>
    <w:rsid w:val="00AF71DC"/>
    <w:rsid w:val="00B0004C"/>
    <w:rsid w:val="00B014D4"/>
    <w:rsid w:val="00B039FB"/>
    <w:rsid w:val="00B03DE6"/>
    <w:rsid w:val="00B04443"/>
    <w:rsid w:val="00B04A98"/>
    <w:rsid w:val="00B0657D"/>
    <w:rsid w:val="00B10993"/>
    <w:rsid w:val="00B10B7C"/>
    <w:rsid w:val="00B10C5D"/>
    <w:rsid w:val="00B123BA"/>
    <w:rsid w:val="00B13893"/>
    <w:rsid w:val="00B13AC4"/>
    <w:rsid w:val="00B13F96"/>
    <w:rsid w:val="00B1604D"/>
    <w:rsid w:val="00B16644"/>
    <w:rsid w:val="00B172BC"/>
    <w:rsid w:val="00B177F8"/>
    <w:rsid w:val="00B17F4E"/>
    <w:rsid w:val="00B2003D"/>
    <w:rsid w:val="00B2059F"/>
    <w:rsid w:val="00B208DC"/>
    <w:rsid w:val="00B20F9D"/>
    <w:rsid w:val="00B214F2"/>
    <w:rsid w:val="00B21F86"/>
    <w:rsid w:val="00B22AF1"/>
    <w:rsid w:val="00B234F3"/>
    <w:rsid w:val="00B24DF4"/>
    <w:rsid w:val="00B26212"/>
    <w:rsid w:val="00B267A4"/>
    <w:rsid w:val="00B27131"/>
    <w:rsid w:val="00B2777D"/>
    <w:rsid w:val="00B27F2E"/>
    <w:rsid w:val="00B30036"/>
    <w:rsid w:val="00B3240E"/>
    <w:rsid w:val="00B326B6"/>
    <w:rsid w:val="00B33AAC"/>
    <w:rsid w:val="00B3467E"/>
    <w:rsid w:val="00B3526E"/>
    <w:rsid w:val="00B361B5"/>
    <w:rsid w:val="00B365C6"/>
    <w:rsid w:val="00B36F41"/>
    <w:rsid w:val="00B36F46"/>
    <w:rsid w:val="00B37C42"/>
    <w:rsid w:val="00B40201"/>
    <w:rsid w:val="00B414A5"/>
    <w:rsid w:val="00B41A6A"/>
    <w:rsid w:val="00B42063"/>
    <w:rsid w:val="00B42B72"/>
    <w:rsid w:val="00B42FCE"/>
    <w:rsid w:val="00B4356A"/>
    <w:rsid w:val="00B451C8"/>
    <w:rsid w:val="00B45498"/>
    <w:rsid w:val="00B4672F"/>
    <w:rsid w:val="00B4681E"/>
    <w:rsid w:val="00B46F6B"/>
    <w:rsid w:val="00B4789A"/>
    <w:rsid w:val="00B479C2"/>
    <w:rsid w:val="00B514A2"/>
    <w:rsid w:val="00B51691"/>
    <w:rsid w:val="00B52782"/>
    <w:rsid w:val="00B52813"/>
    <w:rsid w:val="00B54124"/>
    <w:rsid w:val="00B54A7F"/>
    <w:rsid w:val="00B54F8D"/>
    <w:rsid w:val="00B55532"/>
    <w:rsid w:val="00B57346"/>
    <w:rsid w:val="00B573AB"/>
    <w:rsid w:val="00B578AD"/>
    <w:rsid w:val="00B57ECF"/>
    <w:rsid w:val="00B60815"/>
    <w:rsid w:val="00B615A4"/>
    <w:rsid w:val="00B62D0E"/>
    <w:rsid w:val="00B63557"/>
    <w:rsid w:val="00B63EBE"/>
    <w:rsid w:val="00B64576"/>
    <w:rsid w:val="00B658AE"/>
    <w:rsid w:val="00B65E47"/>
    <w:rsid w:val="00B66711"/>
    <w:rsid w:val="00B66DAB"/>
    <w:rsid w:val="00B67ECE"/>
    <w:rsid w:val="00B7023A"/>
    <w:rsid w:val="00B708D1"/>
    <w:rsid w:val="00B71CAF"/>
    <w:rsid w:val="00B71DCB"/>
    <w:rsid w:val="00B7248D"/>
    <w:rsid w:val="00B72840"/>
    <w:rsid w:val="00B728CC"/>
    <w:rsid w:val="00B7317E"/>
    <w:rsid w:val="00B733D1"/>
    <w:rsid w:val="00B7370B"/>
    <w:rsid w:val="00B7410D"/>
    <w:rsid w:val="00B746B6"/>
    <w:rsid w:val="00B746E6"/>
    <w:rsid w:val="00B74A23"/>
    <w:rsid w:val="00B74F75"/>
    <w:rsid w:val="00B756B1"/>
    <w:rsid w:val="00B75B57"/>
    <w:rsid w:val="00B75FBE"/>
    <w:rsid w:val="00B76085"/>
    <w:rsid w:val="00B76AAA"/>
    <w:rsid w:val="00B77E9D"/>
    <w:rsid w:val="00B804B5"/>
    <w:rsid w:val="00B8128D"/>
    <w:rsid w:val="00B820EE"/>
    <w:rsid w:val="00B82677"/>
    <w:rsid w:val="00B857CB"/>
    <w:rsid w:val="00B85F1D"/>
    <w:rsid w:val="00B85F3E"/>
    <w:rsid w:val="00B86317"/>
    <w:rsid w:val="00B87C6D"/>
    <w:rsid w:val="00B87F0C"/>
    <w:rsid w:val="00B92481"/>
    <w:rsid w:val="00B927CC"/>
    <w:rsid w:val="00B92C94"/>
    <w:rsid w:val="00B92D86"/>
    <w:rsid w:val="00B9314E"/>
    <w:rsid w:val="00B93277"/>
    <w:rsid w:val="00B9376F"/>
    <w:rsid w:val="00B93BF9"/>
    <w:rsid w:val="00B94049"/>
    <w:rsid w:val="00B94258"/>
    <w:rsid w:val="00B94CD8"/>
    <w:rsid w:val="00B95284"/>
    <w:rsid w:val="00B95BE8"/>
    <w:rsid w:val="00B96118"/>
    <w:rsid w:val="00B96E02"/>
    <w:rsid w:val="00B97B4E"/>
    <w:rsid w:val="00BA008D"/>
    <w:rsid w:val="00BA00B7"/>
    <w:rsid w:val="00BA0479"/>
    <w:rsid w:val="00BA06E4"/>
    <w:rsid w:val="00BA077A"/>
    <w:rsid w:val="00BA2842"/>
    <w:rsid w:val="00BA2BCC"/>
    <w:rsid w:val="00BA31F4"/>
    <w:rsid w:val="00BA3859"/>
    <w:rsid w:val="00BA4DFF"/>
    <w:rsid w:val="00BA5123"/>
    <w:rsid w:val="00BA5476"/>
    <w:rsid w:val="00BA553F"/>
    <w:rsid w:val="00BA5610"/>
    <w:rsid w:val="00BA564E"/>
    <w:rsid w:val="00BA70CA"/>
    <w:rsid w:val="00BA7819"/>
    <w:rsid w:val="00BA7890"/>
    <w:rsid w:val="00BA78D6"/>
    <w:rsid w:val="00BA7CEE"/>
    <w:rsid w:val="00BA7E84"/>
    <w:rsid w:val="00BA7FD4"/>
    <w:rsid w:val="00BB0ABB"/>
    <w:rsid w:val="00BB17A2"/>
    <w:rsid w:val="00BB1F4F"/>
    <w:rsid w:val="00BB2D49"/>
    <w:rsid w:val="00BB2DE2"/>
    <w:rsid w:val="00BB340C"/>
    <w:rsid w:val="00BB37CF"/>
    <w:rsid w:val="00BB426F"/>
    <w:rsid w:val="00BB6295"/>
    <w:rsid w:val="00BB6F63"/>
    <w:rsid w:val="00BB79A5"/>
    <w:rsid w:val="00BC0523"/>
    <w:rsid w:val="00BC09D8"/>
    <w:rsid w:val="00BC0A5F"/>
    <w:rsid w:val="00BC13D4"/>
    <w:rsid w:val="00BC1847"/>
    <w:rsid w:val="00BC273F"/>
    <w:rsid w:val="00BC2E20"/>
    <w:rsid w:val="00BC2E33"/>
    <w:rsid w:val="00BC31D7"/>
    <w:rsid w:val="00BC3406"/>
    <w:rsid w:val="00BC41F5"/>
    <w:rsid w:val="00BC421D"/>
    <w:rsid w:val="00BC4238"/>
    <w:rsid w:val="00BC42B9"/>
    <w:rsid w:val="00BC454F"/>
    <w:rsid w:val="00BC4B34"/>
    <w:rsid w:val="00BC6316"/>
    <w:rsid w:val="00BC6853"/>
    <w:rsid w:val="00BC6BFA"/>
    <w:rsid w:val="00BC7526"/>
    <w:rsid w:val="00BD0BB8"/>
    <w:rsid w:val="00BD0C6E"/>
    <w:rsid w:val="00BD0E6B"/>
    <w:rsid w:val="00BD275E"/>
    <w:rsid w:val="00BD36D4"/>
    <w:rsid w:val="00BD397E"/>
    <w:rsid w:val="00BD3B50"/>
    <w:rsid w:val="00BD502A"/>
    <w:rsid w:val="00BD5104"/>
    <w:rsid w:val="00BD69ED"/>
    <w:rsid w:val="00BD71C6"/>
    <w:rsid w:val="00BD7406"/>
    <w:rsid w:val="00BD74A2"/>
    <w:rsid w:val="00BD74F6"/>
    <w:rsid w:val="00BD7D1D"/>
    <w:rsid w:val="00BE0058"/>
    <w:rsid w:val="00BE087C"/>
    <w:rsid w:val="00BE1587"/>
    <w:rsid w:val="00BE2146"/>
    <w:rsid w:val="00BE23C9"/>
    <w:rsid w:val="00BE34C8"/>
    <w:rsid w:val="00BE4282"/>
    <w:rsid w:val="00BE4369"/>
    <w:rsid w:val="00BE4516"/>
    <w:rsid w:val="00BE47DD"/>
    <w:rsid w:val="00BE56F7"/>
    <w:rsid w:val="00BE5D5F"/>
    <w:rsid w:val="00BE6D65"/>
    <w:rsid w:val="00BE74DD"/>
    <w:rsid w:val="00BF0577"/>
    <w:rsid w:val="00BF0EC1"/>
    <w:rsid w:val="00BF37B4"/>
    <w:rsid w:val="00BF3BB1"/>
    <w:rsid w:val="00BF3CE3"/>
    <w:rsid w:val="00BF43AA"/>
    <w:rsid w:val="00BF5868"/>
    <w:rsid w:val="00BF5CB3"/>
    <w:rsid w:val="00BF63FA"/>
    <w:rsid w:val="00BF7510"/>
    <w:rsid w:val="00BF7A86"/>
    <w:rsid w:val="00C001B9"/>
    <w:rsid w:val="00C00419"/>
    <w:rsid w:val="00C0141F"/>
    <w:rsid w:val="00C028E9"/>
    <w:rsid w:val="00C02B65"/>
    <w:rsid w:val="00C03077"/>
    <w:rsid w:val="00C04D93"/>
    <w:rsid w:val="00C0555A"/>
    <w:rsid w:val="00C05E5E"/>
    <w:rsid w:val="00C06E56"/>
    <w:rsid w:val="00C0734E"/>
    <w:rsid w:val="00C07593"/>
    <w:rsid w:val="00C07FE2"/>
    <w:rsid w:val="00C117C0"/>
    <w:rsid w:val="00C12104"/>
    <w:rsid w:val="00C13B38"/>
    <w:rsid w:val="00C13B3B"/>
    <w:rsid w:val="00C140E7"/>
    <w:rsid w:val="00C14FEC"/>
    <w:rsid w:val="00C15C5C"/>
    <w:rsid w:val="00C171D3"/>
    <w:rsid w:val="00C174D5"/>
    <w:rsid w:val="00C177F3"/>
    <w:rsid w:val="00C20567"/>
    <w:rsid w:val="00C20D4F"/>
    <w:rsid w:val="00C21378"/>
    <w:rsid w:val="00C22623"/>
    <w:rsid w:val="00C22808"/>
    <w:rsid w:val="00C22AC5"/>
    <w:rsid w:val="00C22B7D"/>
    <w:rsid w:val="00C303DB"/>
    <w:rsid w:val="00C30637"/>
    <w:rsid w:val="00C310E0"/>
    <w:rsid w:val="00C31E36"/>
    <w:rsid w:val="00C32DE2"/>
    <w:rsid w:val="00C33FCD"/>
    <w:rsid w:val="00C3407A"/>
    <w:rsid w:val="00C34618"/>
    <w:rsid w:val="00C34A26"/>
    <w:rsid w:val="00C34B36"/>
    <w:rsid w:val="00C353E0"/>
    <w:rsid w:val="00C35691"/>
    <w:rsid w:val="00C356BE"/>
    <w:rsid w:val="00C3586B"/>
    <w:rsid w:val="00C358DC"/>
    <w:rsid w:val="00C361FD"/>
    <w:rsid w:val="00C366AA"/>
    <w:rsid w:val="00C37EEE"/>
    <w:rsid w:val="00C40278"/>
    <w:rsid w:val="00C41F62"/>
    <w:rsid w:val="00C434CA"/>
    <w:rsid w:val="00C43CFC"/>
    <w:rsid w:val="00C43FEC"/>
    <w:rsid w:val="00C444B7"/>
    <w:rsid w:val="00C448D6"/>
    <w:rsid w:val="00C4503C"/>
    <w:rsid w:val="00C46799"/>
    <w:rsid w:val="00C46B3E"/>
    <w:rsid w:val="00C47C08"/>
    <w:rsid w:val="00C50CDE"/>
    <w:rsid w:val="00C50FE7"/>
    <w:rsid w:val="00C51418"/>
    <w:rsid w:val="00C52044"/>
    <w:rsid w:val="00C5220C"/>
    <w:rsid w:val="00C52334"/>
    <w:rsid w:val="00C52BA6"/>
    <w:rsid w:val="00C530F6"/>
    <w:rsid w:val="00C54CD4"/>
    <w:rsid w:val="00C54D1C"/>
    <w:rsid w:val="00C550A1"/>
    <w:rsid w:val="00C56738"/>
    <w:rsid w:val="00C5699A"/>
    <w:rsid w:val="00C57E14"/>
    <w:rsid w:val="00C6077F"/>
    <w:rsid w:val="00C63EE8"/>
    <w:rsid w:val="00C64635"/>
    <w:rsid w:val="00C64793"/>
    <w:rsid w:val="00C64AAF"/>
    <w:rsid w:val="00C65265"/>
    <w:rsid w:val="00C6725B"/>
    <w:rsid w:val="00C6760A"/>
    <w:rsid w:val="00C74124"/>
    <w:rsid w:val="00C74C9E"/>
    <w:rsid w:val="00C75070"/>
    <w:rsid w:val="00C7515D"/>
    <w:rsid w:val="00C76827"/>
    <w:rsid w:val="00C76D6B"/>
    <w:rsid w:val="00C76E10"/>
    <w:rsid w:val="00C7778F"/>
    <w:rsid w:val="00C77D33"/>
    <w:rsid w:val="00C811FE"/>
    <w:rsid w:val="00C81EAE"/>
    <w:rsid w:val="00C82809"/>
    <w:rsid w:val="00C837BC"/>
    <w:rsid w:val="00C83E49"/>
    <w:rsid w:val="00C84027"/>
    <w:rsid w:val="00C845D3"/>
    <w:rsid w:val="00C848A1"/>
    <w:rsid w:val="00C90311"/>
    <w:rsid w:val="00C90F95"/>
    <w:rsid w:val="00C93456"/>
    <w:rsid w:val="00C93B87"/>
    <w:rsid w:val="00C9463B"/>
    <w:rsid w:val="00C959E8"/>
    <w:rsid w:val="00C96623"/>
    <w:rsid w:val="00CA12E0"/>
    <w:rsid w:val="00CA14FD"/>
    <w:rsid w:val="00CA194C"/>
    <w:rsid w:val="00CA1FB2"/>
    <w:rsid w:val="00CA2D71"/>
    <w:rsid w:val="00CA2E70"/>
    <w:rsid w:val="00CA3A01"/>
    <w:rsid w:val="00CA5840"/>
    <w:rsid w:val="00CA6880"/>
    <w:rsid w:val="00CB05BC"/>
    <w:rsid w:val="00CB06AF"/>
    <w:rsid w:val="00CB082E"/>
    <w:rsid w:val="00CB2162"/>
    <w:rsid w:val="00CB29B2"/>
    <w:rsid w:val="00CB4286"/>
    <w:rsid w:val="00CB5C75"/>
    <w:rsid w:val="00CB5E6F"/>
    <w:rsid w:val="00CB6891"/>
    <w:rsid w:val="00CB6DBF"/>
    <w:rsid w:val="00CB74CF"/>
    <w:rsid w:val="00CB7B06"/>
    <w:rsid w:val="00CB7CB2"/>
    <w:rsid w:val="00CB7DC8"/>
    <w:rsid w:val="00CC0DF3"/>
    <w:rsid w:val="00CC11E5"/>
    <w:rsid w:val="00CC2330"/>
    <w:rsid w:val="00CC24F9"/>
    <w:rsid w:val="00CC250B"/>
    <w:rsid w:val="00CC276E"/>
    <w:rsid w:val="00CC3320"/>
    <w:rsid w:val="00CC450A"/>
    <w:rsid w:val="00CC47D5"/>
    <w:rsid w:val="00CC646F"/>
    <w:rsid w:val="00CC7350"/>
    <w:rsid w:val="00CD190C"/>
    <w:rsid w:val="00CD2081"/>
    <w:rsid w:val="00CD29F4"/>
    <w:rsid w:val="00CD2CEC"/>
    <w:rsid w:val="00CD3254"/>
    <w:rsid w:val="00CD5EA6"/>
    <w:rsid w:val="00CE0138"/>
    <w:rsid w:val="00CE19EA"/>
    <w:rsid w:val="00CE2AEE"/>
    <w:rsid w:val="00CE3A69"/>
    <w:rsid w:val="00CE40B6"/>
    <w:rsid w:val="00CE537F"/>
    <w:rsid w:val="00CE53E2"/>
    <w:rsid w:val="00CE5873"/>
    <w:rsid w:val="00CE58C6"/>
    <w:rsid w:val="00CE723D"/>
    <w:rsid w:val="00CE7CDC"/>
    <w:rsid w:val="00CF139A"/>
    <w:rsid w:val="00CF4117"/>
    <w:rsid w:val="00CF4924"/>
    <w:rsid w:val="00CF5421"/>
    <w:rsid w:val="00D0119D"/>
    <w:rsid w:val="00D01F83"/>
    <w:rsid w:val="00D03004"/>
    <w:rsid w:val="00D041FC"/>
    <w:rsid w:val="00D04DDA"/>
    <w:rsid w:val="00D0597B"/>
    <w:rsid w:val="00D05E88"/>
    <w:rsid w:val="00D05F29"/>
    <w:rsid w:val="00D0734D"/>
    <w:rsid w:val="00D075E4"/>
    <w:rsid w:val="00D07F2A"/>
    <w:rsid w:val="00D10297"/>
    <w:rsid w:val="00D10CBC"/>
    <w:rsid w:val="00D1208D"/>
    <w:rsid w:val="00D124E0"/>
    <w:rsid w:val="00D12F14"/>
    <w:rsid w:val="00D130D0"/>
    <w:rsid w:val="00D1496D"/>
    <w:rsid w:val="00D14A75"/>
    <w:rsid w:val="00D14FEF"/>
    <w:rsid w:val="00D152BD"/>
    <w:rsid w:val="00D158AE"/>
    <w:rsid w:val="00D16472"/>
    <w:rsid w:val="00D16FE0"/>
    <w:rsid w:val="00D17BA1"/>
    <w:rsid w:val="00D213FE"/>
    <w:rsid w:val="00D2148B"/>
    <w:rsid w:val="00D216FC"/>
    <w:rsid w:val="00D2299F"/>
    <w:rsid w:val="00D22FFB"/>
    <w:rsid w:val="00D235A7"/>
    <w:rsid w:val="00D2395F"/>
    <w:rsid w:val="00D239A3"/>
    <w:rsid w:val="00D2635F"/>
    <w:rsid w:val="00D2709C"/>
    <w:rsid w:val="00D27120"/>
    <w:rsid w:val="00D30ACA"/>
    <w:rsid w:val="00D3113C"/>
    <w:rsid w:val="00D314FC"/>
    <w:rsid w:val="00D31CEF"/>
    <w:rsid w:val="00D32076"/>
    <w:rsid w:val="00D32170"/>
    <w:rsid w:val="00D33716"/>
    <w:rsid w:val="00D33DE4"/>
    <w:rsid w:val="00D36D71"/>
    <w:rsid w:val="00D3725B"/>
    <w:rsid w:val="00D41C0C"/>
    <w:rsid w:val="00D420F2"/>
    <w:rsid w:val="00D42BFD"/>
    <w:rsid w:val="00D43A4C"/>
    <w:rsid w:val="00D44BB9"/>
    <w:rsid w:val="00D47096"/>
    <w:rsid w:val="00D4741F"/>
    <w:rsid w:val="00D501B3"/>
    <w:rsid w:val="00D50A54"/>
    <w:rsid w:val="00D51036"/>
    <w:rsid w:val="00D51875"/>
    <w:rsid w:val="00D52F63"/>
    <w:rsid w:val="00D5318D"/>
    <w:rsid w:val="00D53555"/>
    <w:rsid w:val="00D53F22"/>
    <w:rsid w:val="00D556BA"/>
    <w:rsid w:val="00D55B73"/>
    <w:rsid w:val="00D578B8"/>
    <w:rsid w:val="00D57FC2"/>
    <w:rsid w:val="00D60110"/>
    <w:rsid w:val="00D602E9"/>
    <w:rsid w:val="00D60597"/>
    <w:rsid w:val="00D62278"/>
    <w:rsid w:val="00D6275B"/>
    <w:rsid w:val="00D62CD4"/>
    <w:rsid w:val="00D636DB"/>
    <w:rsid w:val="00D63F04"/>
    <w:rsid w:val="00D65224"/>
    <w:rsid w:val="00D6769B"/>
    <w:rsid w:val="00D67FCC"/>
    <w:rsid w:val="00D70AE1"/>
    <w:rsid w:val="00D7234B"/>
    <w:rsid w:val="00D735B8"/>
    <w:rsid w:val="00D74270"/>
    <w:rsid w:val="00D74AAF"/>
    <w:rsid w:val="00D74BD0"/>
    <w:rsid w:val="00D7581D"/>
    <w:rsid w:val="00D76F60"/>
    <w:rsid w:val="00D80133"/>
    <w:rsid w:val="00D80170"/>
    <w:rsid w:val="00D80298"/>
    <w:rsid w:val="00D80727"/>
    <w:rsid w:val="00D82B0A"/>
    <w:rsid w:val="00D8327E"/>
    <w:rsid w:val="00D832AE"/>
    <w:rsid w:val="00D83C2A"/>
    <w:rsid w:val="00D84F0B"/>
    <w:rsid w:val="00D85759"/>
    <w:rsid w:val="00D8654E"/>
    <w:rsid w:val="00D87417"/>
    <w:rsid w:val="00D87D82"/>
    <w:rsid w:val="00D9174A"/>
    <w:rsid w:val="00D92551"/>
    <w:rsid w:val="00D938F3"/>
    <w:rsid w:val="00D9451F"/>
    <w:rsid w:val="00D95259"/>
    <w:rsid w:val="00D96846"/>
    <w:rsid w:val="00D9734B"/>
    <w:rsid w:val="00DA0D38"/>
    <w:rsid w:val="00DA200D"/>
    <w:rsid w:val="00DA2192"/>
    <w:rsid w:val="00DA278C"/>
    <w:rsid w:val="00DA284F"/>
    <w:rsid w:val="00DA2A42"/>
    <w:rsid w:val="00DA2E75"/>
    <w:rsid w:val="00DA2F49"/>
    <w:rsid w:val="00DA3198"/>
    <w:rsid w:val="00DA3757"/>
    <w:rsid w:val="00DA3881"/>
    <w:rsid w:val="00DA440A"/>
    <w:rsid w:val="00DA46B1"/>
    <w:rsid w:val="00DA5AA0"/>
    <w:rsid w:val="00DA5B90"/>
    <w:rsid w:val="00DA6F9E"/>
    <w:rsid w:val="00DA728B"/>
    <w:rsid w:val="00DA7723"/>
    <w:rsid w:val="00DB0C93"/>
    <w:rsid w:val="00DB0F9D"/>
    <w:rsid w:val="00DB16B9"/>
    <w:rsid w:val="00DB184F"/>
    <w:rsid w:val="00DB32EA"/>
    <w:rsid w:val="00DB4464"/>
    <w:rsid w:val="00DB4710"/>
    <w:rsid w:val="00DB49CC"/>
    <w:rsid w:val="00DB4A65"/>
    <w:rsid w:val="00DB602C"/>
    <w:rsid w:val="00DB7604"/>
    <w:rsid w:val="00DC0B64"/>
    <w:rsid w:val="00DC0CEB"/>
    <w:rsid w:val="00DC10A5"/>
    <w:rsid w:val="00DC1ECE"/>
    <w:rsid w:val="00DC33C1"/>
    <w:rsid w:val="00DC3EA1"/>
    <w:rsid w:val="00DC4A27"/>
    <w:rsid w:val="00DC4CA3"/>
    <w:rsid w:val="00DC4D75"/>
    <w:rsid w:val="00DC5298"/>
    <w:rsid w:val="00DC5F61"/>
    <w:rsid w:val="00DC6CB2"/>
    <w:rsid w:val="00DC7C37"/>
    <w:rsid w:val="00DD02D9"/>
    <w:rsid w:val="00DD3748"/>
    <w:rsid w:val="00DD3F60"/>
    <w:rsid w:val="00DD4ED8"/>
    <w:rsid w:val="00DD5768"/>
    <w:rsid w:val="00DD5E2B"/>
    <w:rsid w:val="00DD653C"/>
    <w:rsid w:val="00DD6692"/>
    <w:rsid w:val="00DD6966"/>
    <w:rsid w:val="00DD719F"/>
    <w:rsid w:val="00DD7E6C"/>
    <w:rsid w:val="00DE0A97"/>
    <w:rsid w:val="00DE0AA5"/>
    <w:rsid w:val="00DE0CDA"/>
    <w:rsid w:val="00DE1708"/>
    <w:rsid w:val="00DE2555"/>
    <w:rsid w:val="00DE2E71"/>
    <w:rsid w:val="00DE3580"/>
    <w:rsid w:val="00DE3A77"/>
    <w:rsid w:val="00DE3C7D"/>
    <w:rsid w:val="00DE56E0"/>
    <w:rsid w:val="00DE58EE"/>
    <w:rsid w:val="00DE716A"/>
    <w:rsid w:val="00DF0BCD"/>
    <w:rsid w:val="00DF1515"/>
    <w:rsid w:val="00DF346E"/>
    <w:rsid w:val="00DF3617"/>
    <w:rsid w:val="00DF41B5"/>
    <w:rsid w:val="00DF4ECA"/>
    <w:rsid w:val="00DF53F2"/>
    <w:rsid w:val="00DF6230"/>
    <w:rsid w:val="00DF642E"/>
    <w:rsid w:val="00DF64CA"/>
    <w:rsid w:val="00DF660A"/>
    <w:rsid w:val="00DF6C49"/>
    <w:rsid w:val="00DF70B7"/>
    <w:rsid w:val="00DF7413"/>
    <w:rsid w:val="00DF79CC"/>
    <w:rsid w:val="00E00011"/>
    <w:rsid w:val="00E0061F"/>
    <w:rsid w:val="00E00A81"/>
    <w:rsid w:val="00E01A32"/>
    <w:rsid w:val="00E01AD8"/>
    <w:rsid w:val="00E01DC5"/>
    <w:rsid w:val="00E022D3"/>
    <w:rsid w:val="00E037D0"/>
    <w:rsid w:val="00E04A11"/>
    <w:rsid w:val="00E04DB8"/>
    <w:rsid w:val="00E05075"/>
    <w:rsid w:val="00E05A8B"/>
    <w:rsid w:val="00E06644"/>
    <w:rsid w:val="00E069FD"/>
    <w:rsid w:val="00E100A9"/>
    <w:rsid w:val="00E10383"/>
    <w:rsid w:val="00E112CD"/>
    <w:rsid w:val="00E12723"/>
    <w:rsid w:val="00E137C3"/>
    <w:rsid w:val="00E13BF1"/>
    <w:rsid w:val="00E13D31"/>
    <w:rsid w:val="00E140C9"/>
    <w:rsid w:val="00E1443A"/>
    <w:rsid w:val="00E14C6B"/>
    <w:rsid w:val="00E15C2A"/>
    <w:rsid w:val="00E16008"/>
    <w:rsid w:val="00E177C2"/>
    <w:rsid w:val="00E179F6"/>
    <w:rsid w:val="00E200B5"/>
    <w:rsid w:val="00E2052F"/>
    <w:rsid w:val="00E20DDF"/>
    <w:rsid w:val="00E22A34"/>
    <w:rsid w:val="00E22F23"/>
    <w:rsid w:val="00E239C7"/>
    <w:rsid w:val="00E23E54"/>
    <w:rsid w:val="00E24C84"/>
    <w:rsid w:val="00E25B74"/>
    <w:rsid w:val="00E2752B"/>
    <w:rsid w:val="00E275D1"/>
    <w:rsid w:val="00E30A68"/>
    <w:rsid w:val="00E31087"/>
    <w:rsid w:val="00E31754"/>
    <w:rsid w:val="00E32489"/>
    <w:rsid w:val="00E3276B"/>
    <w:rsid w:val="00E34467"/>
    <w:rsid w:val="00E3526D"/>
    <w:rsid w:val="00E353D6"/>
    <w:rsid w:val="00E3672F"/>
    <w:rsid w:val="00E36FEC"/>
    <w:rsid w:val="00E3756F"/>
    <w:rsid w:val="00E37B17"/>
    <w:rsid w:val="00E403C6"/>
    <w:rsid w:val="00E425ED"/>
    <w:rsid w:val="00E42B64"/>
    <w:rsid w:val="00E43D01"/>
    <w:rsid w:val="00E44FFE"/>
    <w:rsid w:val="00E46249"/>
    <w:rsid w:val="00E47DAB"/>
    <w:rsid w:val="00E47DC9"/>
    <w:rsid w:val="00E47E06"/>
    <w:rsid w:val="00E5029C"/>
    <w:rsid w:val="00E50748"/>
    <w:rsid w:val="00E50F10"/>
    <w:rsid w:val="00E51DB4"/>
    <w:rsid w:val="00E53CF7"/>
    <w:rsid w:val="00E54B61"/>
    <w:rsid w:val="00E556C3"/>
    <w:rsid w:val="00E5588A"/>
    <w:rsid w:val="00E568DD"/>
    <w:rsid w:val="00E57507"/>
    <w:rsid w:val="00E60904"/>
    <w:rsid w:val="00E60E27"/>
    <w:rsid w:val="00E611C0"/>
    <w:rsid w:val="00E61E6D"/>
    <w:rsid w:val="00E62E17"/>
    <w:rsid w:val="00E6360B"/>
    <w:rsid w:val="00E63BBF"/>
    <w:rsid w:val="00E63FFF"/>
    <w:rsid w:val="00E646EA"/>
    <w:rsid w:val="00E64E47"/>
    <w:rsid w:val="00E655AE"/>
    <w:rsid w:val="00E669BD"/>
    <w:rsid w:val="00E67628"/>
    <w:rsid w:val="00E702AA"/>
    <w:rsid w:val="00E717FF"/>
    <w:rsid w:val="00E72031"/>
    <w:rsid w:val="00E72A11"/>
    <w:rsid w:val="00E72C93"/>
    <w:rsid w:val="00E72ED7"/>
    <w:rsid w:val="00E7395F"/>
    <w:rsid w:val="00E75DFD"/>
    <w:rsid w:val="00E76230"/>
    <w:rsid w:val="00E76F83"/>
    <w:rsid w:val="00E77132"/>
    <w:rsid w:val="00E771B4"/>
    <w:rsid w:val="00E7785D"/>
    <w:rsid w:val="00E77F50"/>
    <w:rsid w:val="00E80FAB"/>
    <w:rsid w:val="00E80FD4"/>
    <w:rsid w:val="00E8113D"/>
    <w:rsid w:val="00E82202"/>
    <w:rsid w:val="00E82605"/>
    <w:rsid w:val="00E828B7"/>
    <w:rsid w:val="00E82D8B"/>
    <w:rsid w:val="00E83C61"/>
    <w:rsid w:val="00E852CA"/>
    <w:rsid w:val="00E85D4F"/>
    <w:rsid w:val="00E87FC4"/>
    <w:rsid w:val="00E90187"/>
    <w:rsid w:val="00E903A7"/>
    <w:rsid w:val="00E91909"/>
    <w:rsid w:val="00E926A0"/>
    <w:rsid w:val="00E929B4"/>
    <w:rsid w:val="00E930E5"/>
    <w:rsid w:val="00E93294"/>
    <w:rsid w:val="00E93577"/>
    <w:rsid w:val="00E936C4"/>
    <w:rsid w:val="00E94523"/>
    <w:rsid w:val="00E9487E"/>
    <w:rsid w:val="00E94CFC"/>
    <w:rsid w:val="00E95B06"/>
    <w:rsid w:val="00E95EFE"/>
    <w:rsid w:val="00E97764"/>
    <w:rsid w:val="00EA013E"/>
    <w:rsid w:val="00EA03DB"/>
    <w:rsid w:val="00EA0711"/>
    <w:rsid w:val="00EA0996"/>
    <w:rsid w:val="00EA0FA8"/>
    <w:rsid w:val="00EA136A"/>
    <w:rsid w:val="00EA19BA"/>
    <w:rsid w:val="00EA2197"/>
    <w:rsid w:val="00EA3116"/>
    <w:rsid w:val="00EA42EA"/>
    <w:rsid w:val="00EA4805"/>
    <w:rsid w:val="00EA4825"/>
    <w:rsid w:val="00EA6CBC"/>
    <w:rsid w:val="00EB0F3A"/>
    <w:rsid w:val="00EB0FD3"/>
    <w:rsid w:val="00EB14C3"/>
    <w:rsid w:val="00EB2F8E"/>
    <w:rsid w:val="00EB3182"/>
    <w:rsid w:val="00EB59C7"/>
    <w:rsid w:val="00EB635C"/>
    <w:rsid w:val="00EB6700"/>
    <w:rsid w:val="00EB752E"/>
    <w:rsid w:val="00EC1939"/>
    <w:rsid w:val="00EC3631"/>
    <w:rsid w:val="00EC378B"/>
    <w:rsid w:val="00EC44DB"/>
    <w:rsid w:val="00EC4884"/>
    <w:rsid w:val="00EC4906"/>
    <w:rsid w:val="00EC51B9"/>
    <w:rsid w:val="00EC5B82"/>
    <w:rsid w:val="00EC5D68"/>
    <w:rsid w:val="00EC5F24"/>
    <w:rsid w:val="00EC6113"/>
    <w:rsid w:val="00EC6572"/>
    <w:rsid w:val="00EC6A43"/>
    <w:rsid w:val="00EC6B94"/>
    <w:rsid w:val="00ED1115"/>
    <w:rsid w:val="00ED1271"/>
    <w:rsid w:val="00ED15EF"/>
    <w:rsid w:val="00ED17C8"/>
    <w:rsid w:val="00ED3695"/>
    <w:rsid w:val="00ED4BD8"/>
    <w:rsid w:val="00ED4FF7"/>
    <w:rsid w:val="00ED6942"/>
    <w:rsid w:val="00ED6F32"/>
    <w:rsid w:val="00ED7A5B"/>
    <w:rsid w:val="00EE0AE4"/>
    <w:rsid w:val="00EE17BB"/>
    <w:rsid w:val="00EE1BD2"/>
    <w:rsid w:val="00EE36F3"/>
    <w:rsid w:val="00EE4758"/>
    <w:rsid w:val="00EE4F35"/>
    <w:rsid w:val="00EE5604"/>
    <w:rsid w:val="00EE579E"/>
    <w:rsid w:val="00EE7CF2"/>
    <w:rsid w:val="00EF07A1"/>
    <w:rsid w:val="00EF0988"/>
    <w:rsid w:val="00EF11C5"/>
    <w:rsid w:val="00EF1944"/>
    <w:rsid w:val="00EF280C"/>
    <w:rsid w:val="00EF2C8D"/>
    <w:rsid w:val="00EF3485"/>
    <w:rsid w:val="00EF42A1"/>
    <w:rsid w:val="00EF4A10"/>
    <w:rsid w:val="00EF52A3"/>
    <w:rsid w:val="00EF65FA"/>
    <w:rsid w:val="00EF6FCD"/>
    <w:rsid w:val="00EF78D3"/>
    <w:rsid w:val="00F004B2"/>
    <w:rsid w:val="00F0085E"/>
    <w:rsid w:val="00F00F86"/>
    <w:rsid w:val="00F028EB"/>
    <w:rsid w:val="00F02BF3"/>
    <w:rsid w:val="00F03650"/>
    <w:rsid w:val="00F03840"/>
    <w:rsid w:val="00F0499C"/>
    <w:rsid w:val="00F06F5A"/>
    <w:rsid w:val="00F103E1"/>
    <w:rsid w:val="00F10420"/>
    <w:rsid w:val="00F11177"/>
    <w:rsid w:val="00F11CEF"/>
    <w:rsid w:val="00F12028"/>
    <w:rsid w:val="00F1281F"/>
    <w:rsid w:val="00F12D88"/>
    <w:rsid w:val="00F12E26"/>
    <w:rsid w:val="00F145AE"/>
    <w:rsid w:val="00F15312"/>
    <w:rsid w:val="00F17516"/>
    <w:rsid w:val="00F21878"/>
    <w:rsid w:val="00F219C0"/>
    <w:rsid w:val="00F21EC1"/>
    <w:rsid w:val="00F21EC8"/>
    <w:rsid w:val="00F228DB"/>
    <w:rsid w:val="00F2297D"/>
    <w:rsid w:val="00F23EA4"/>
    <w:rsid w:val="00F23F67"/>
    <w:rsid w:val="00F25110"/>
    <w:rsid w:val="00F25AAF"/>
    <w:rsid w:val="00F25AB7"/>
    <w:rsid w:val="00F26FB4"/>
    <w:rsid w:val="00F2778F"/>
    <w:rsid w:val="00F30255"/>
    <w:rsid w:val="00F30B7C"/>
    <w:rsid w:val="00F310B0"/>
    <w:rsid w:val="00F3342E"/>
    <w:rsid w:val="00F3386D"/>
    <w:rsid w:val="00F33F46"/>
    <w:rsid w:val="00F3447B"/>
    <w:rsid w:val="00F35A59"/>
    <w:rsid w:val="00F3665C"/>
    <w:rsid w:val="00F36876"/>
    <w:rsid w:val="00F379EB"/>
    <w:rsid w:val="00F40366"/>
    <w:rsid w:val="00F42C4D"/>
    <w:rsid w:val="00F432CF"/>
    <w:rsid w:val="00F43371"/>
    <w:rsid w:val="00F43E97"/>
    <w:rsid w:val="00F46816"/>
    <w:rsid w:val="00F47485"/>
    <w:rsid w:val="00F4797E"/>
    <w:rsid w:val="00F50129"/>
    <w:rsid w:val="00F51B5B"/>
    <w:rsid w:val="00F52115"/>
    <w:rsid w:val="00F529AF"/>
    <w:rsid w:val="00F52A2F"/>
    <w:rsid w:val="00F53FA7"/>
    <w:rsid w:val="00F548B8"/>
    <w:rsid w:val="00F552C4"/>
    <w:rsid w:val="00F554FF"/>
    <w:rsid w:val="00F557D1"/>
    <w:rsid w:val="00F563BD"/>
    <w:rsid w:val="00F56E7A"/>
    <w:rsid w:val="00F57CB3"/>
    <w:rsid w:val="00F57F5B"/>
    <w:rsid w:val="00F57FFA"/>
    <w:rsid w:val="00F60EAB"/>
    <w:rsid w:val="00F61997"/>
    <w:rsid w:val="00F621DF"/>
    <w:rsid w:val="00F63E4E"/>
    <w:rsid w:val="00F653B8"/>
    <w:rsid w:val="00F65F0F"/>
    <w:rsid w:val="00F65F34"/>
    <w:rsid w:val="00F67FA2"/>
    <w:rsid w:val="00F70676"/>
    <w:rsid w:val="00F7067A"/>
    <w:rsid w:val="00F70D28"/>
    <w:rsid w:val="00F70F3B"/>
    <w:rsid w:val="00F71745"/>
    <w:rsid w:val="00F74E02"/>
    <w:rsid w:val="00F75AC0"/>
    <w:rsid w:val="00F813C8"/>
    <w:rsid w:val="00F83F16"/>
    <w:rsid w:val="00F84702"/>
    <w:rsid w:val="00F849A2"/>
    <w:rsid w:val="00F85B64"/>
    <w:rsid w:val="00F86305"/>
    <w:rsid w:val="00F864AB"/>
    <w:rsid w:val="00F86761"/>
    <w:rsid w:val="00F86D2B"/>
    <w:rsid w:val="00F86EB6"/>
    <w:rsid w:val="00F87224"/>
    <w:rsid w:val="00F906E7"/>
    <w:rsid w:val="00F909CD"/>
    <w:rsid w:val="00F90B72"/>
    <w:rsid w:val="00F91669"/>
    <w:rsid w:val="00F91864"/>
    <w:rsid w:val="00F921B0"/>
    <w:rsid w:val="00F92812"/>
    <w:rsid w:val="00F92A74"/>
    <w:rsid w:val="00F93098"/>
    <w:rsid w:val="00F93DBA"/>
    <w:rsid w:val="00F95297"/>
    <w:rsid w:val="00F952EC"/>
    <w:rsid w:val="00F95E8F"/>
    <w:rsid w:val="00F96DB1"/>
    <w:rsid w:val="00F971E7"/>
    <w:rsid w:val="00F971FF"/>
    <w:rsid w:val="00F973C7"/>
    <w:rsid w:val="00FA1333"/>
    <w:rsid w:val="00FA19E8"/>
    <w:rsid w:val="00FA1C73"/>
    <w:rsid w:val="00FA2CBB"/>
    <w:rsid w:val="00FA2DFD"/>
    <w:rsid w:val="00FA39B8"/>
    <w:rsid w:val="00FA4686"/>
    <w:rsid w:val="00FA515A"/>
    <w:rsid w:val="00FA596F"/>
    <w:rsid w:val="00FA63A1"/>
    <w:rsid w:val="00FA6D51"/>
    <w:rsid w:val="00FA75EC"/>
    <w:rsid w:val="00FA78AF"/>
    <w:rsid w:val="00FB0940"/>
    <w:rsid w:val="00FB1756"/>
    <w:rsid w:val="00FB17CD"/>
    <w:rsid w:val="00FB18EE"/>
    <w:rsid w:val="00FB1A9E"/>
    <w:rsid w:val="00FB27A3"/>
    <w:rsid w:val="00FB37B4"/>
    <w:rsid w:val="00FB4A23"/>
    <w:rsid w:val="00FB518F"/>
    <w:rsid w:val="00FB5697"/>
    <w:rsid w:val="00FB5E3F"/>
    <w:rsid w:val="00FB5F48"/>
    <w:rsid w:val="00FB6538"/>
    <w:rsid w:val="00FB715D"/>
    <w:rsid w:val="00FB718A"/>
    <w:rsid w:val="00FC0464"/>
    <w:rsid w:val="00FC1215"/>
    <w:rsid w:val="00FC1805"/>
    <w:rsid w:val="00FC279D"/>
    <w:rsid w:val="00FC3624"/>
    <w:rsid w:val="00FC7488"/>
    <w:rsid w:val="00FD1C85"/>
    <w:rsid w:val="00FD2176"/>
    <w:rsid w:val="00FD4423"/>
    <w:rsid w:val="00FD576A"/>
    <w:rsid w:val="00FD6351"/>
    <w:rsid w:val="00FD6FC9"/>
    <w:rsid w:val="00FD72E3"/>
    <w:rsid w:val="00FD7888"/>
    <w:rsid w:val="00FE0507"/>
    <w:rsid w:val="00FE0A3B"/>
    <w:rsid w:val="00FE19CC"/>
    <w:rsid w:val="00FE26DB"/>
    <w:rsid w:val="00FE2A57"/>
    <w:rsid w:val="00FE2F51"/>
    <w:rsid w:val="00FE35F6"/>
    <w:rsid w:val="00FE527D"/>
    <w:rsid w:val="00FE5D68"/>
    <w:rsid w:val="00FE5DAF"/>
    <w:rsid w:val="00FE6442"/>
    <w:rsid w:val="00FE7DD1"/>
    <w:rsid w:val="00FF01AE"/>
    <w:rsid w:val="00FF0E2F"/>
    <w:rsid w:val="00FF1358"/>
    <w:rsid w:val="00FF3402"/>
    <w:rsid w:val="00FF38EC"/>
    <w:rsid w:val="00FF3AC7"/>
    <w:rsid w:val="00FF3E87"/>
    <w:rsid w:val="00FF5C7D"/>
    <w:rsid w:val="00FF6076"/>
    <w:rsid w:val="00FF61A1"/>
    <w:rsid w:val="00FF6984"/>
    <w:rsid w:val="00FF69DB"/>
    <w:rsid w:val="00FF6D5B"/>
    <w:rsid w:val="00FF6DE1"/>
    <w:rsid w:val="00FF6F73"/>
    <w:rsid w:val="212D09FE"/>
    <w:rsid w:val="28B11F15"/>
    <w:rsid w:val="2FD95AE1"/>
    <w:rsid w:val="6BE83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firstLineChars="0"/>
      <w:jc w:val="both"/>
    </w:pPr>
    <w:rPr>
      <w:rFonts w:ascii="Times New Roman" w:hAnsi="Times New Roman" w:eastAsia="仿宋_GB2312" w:cs="Times New Roman"/>
      <w:kern w:val="0"/>
      <w:sz w:val="32"/>
      <w:szCs w:val="3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0"/>
    <w:rPr>
      <w:rFonts w:eastAsia="宋体"/>
      <w:b/>
      <w:bCs/>
      <w:kern w:val="2"/>
      <w:sz w:val="30"/>
      <w:szCs w:val="24"/>
    </w:rPr>
  </w:style>
  <w:style w:type="paragraph" w:styleId="3">
    <w:name w:val="Plain Text"/>
    <w:basedOn w:val="1"/>
    <w:link w:val="16"/>
    <w:semiHidden/>
    <w:unhideWhenUsed/>
    <w:qFormat/>
    <w:uiPriority w:val="0"/>
    <w:rPr>
      <w:rFonts w:ascii="宋体" w:hAnsi="Courier New" w:eastAsia="宋体" w:cs="Courier New"/>
      <w:kern w:val="2"/>
      <w:sz w:val="21"/>
      <w:szCs w:val="21"/>
    </w:rPr>
  </w:style>
  <w:style w:type="paragraph" w:styleId="4">
    <w:name w:val="Date"/>
    <w:basedOn w:val="1"/>
    <w:next w:val="1"/>
    <w:link w:val="15"/>
    <w:semiHidden/>
    <w:unhideWhenUsed/>
    <w:qFormat/>
    <w:uiPriority w:val="0"/>
    <w:pPr>
      <w:ind w:left="100" w:leftChars="2500"/>
    </w:pPr>
    <w:rPr>
      <w:rFonts w:eastAsia="宋体"/>
      <w:kern w:val="2"/>
      <w:sz w:val="21"/>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3"/>
    <w:semiHidden/>
    <w:unhideWhenUsed/>
    <w:qFormat/>
    <w:uiPriority w:val="0"/>
    <w:pPr>
      <w:tabs>
        <w:tab w:val="center" w:pos="4153"/>
        <w:tab w:val="right" w:pos="8306"/>
      </w:tabs>
      <w:snapToGrid w:val="0"/>
      <w:jc w:val="left"/>
    </w:pPr>
    <w:rPr>
      <w:sz w:val="18"/>
      <w:szCs w:val="18"/>
    </w:rPr>
  </w:style>
  <w:style w:type="paragraph" w:styleId="7">
    <w:name w:val="header"/>
    <w:basedOn w:val="1"/>
    <w:link w:val="12"/>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0"/>
    <w:pPr>
      <w:widowControl/>
      <w:spacing w:before="100" w:beforeAutospacing="1" w:after="100" w:afterAutospacing="1"/>
      <w:jc w:val="left"/>
    </w:pPr>
    <w:rPr>
      <w:rFonts w:ascii="宋体" w:hAnsi="宋体" w:eastAsia="宋体" w:cs="宋体"/>
      <w:sz w:val="24"/>
      <w:szCs w:val="24"/>
    </w:rPr>
  </w:style>
  <w:style w:type="table" w:styleId="10">
    <w:name w:val="Table Grid"/>
    <w:basedOn w:val="9"/>
    <w:qFormat/>
    <w:uiPriority w:val="0"/>
    <w:pPr>
      <w:widowControl w:val="0"/>
      <w:ind w:firstLine="0" w:firstLineChars="0"/>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7"/>
    <w:semiHidden/>
    <w:qFormat/>
    <w:uiPriority w:val="0"/>
    <w:rPr>
      <w:rFonts w:ascii="Times New Roman" w:hAnsi="Times New Roman" w:eastAsia="仿宋_GB2312" w:cs="Times New Roman"/>
      <w:kern w:val="0"/>
      <w:sz w:val="18"/>
      <w:szCs w:val="18"/>
    </w:rPr>
  </w:style>
  <w:style w:type="character" w:customStyle="1" w:styleId="13">
    <w:name w:val="页脚 Char"/>
    <w:basedOn w:val="11"/>
    <w:link w:val="6"/>
    <w:semiHidden/>
    <w:qFormat/>
    <w:uiPriority w:val="0"/>
    <w:rPr>
      <w:rFonts w:ascii="Times New Roman" w:hAnsi="Times New Roman" w:eastAsia="仿宋_GB2312" w:cs="Times New Roman"/>
      <w:kern w:val="0"/>
      <w:sz w:val="18"/>
      <w:szCs w:val="18"/>
    </w:rPr>
  </w:style>
  <w:style w:type="character" w:customStyle="1" w:styleId="14">
    <w:name w:val="正文文本 Char"/>
    <w:basedOn w:val="11"/>
    <w:link w:val="2"/>
    <w:semiHidden/>
    <w:qFormat/>
    <w:uiPriority w:val="0"/>
    <w:rPr>
      <w:rFonts w:ascii="Times New Roman" w:hAnsi="Times New Roman" w:eastAsia="宋体" w:cs="Times New Roman"/>
      <w:b/>
      <w:bCs/>
      <w:sz w:val="30"/>
      <w:szCs w:val="24"/>
    </w:rPr>
  </w:style>
  <w:style w:type="character" w:customStyle="1" w:styleId="15">
    <w:name w:val="日期 Char"/>
    <w:basedOn w:val="11"/>
    <w:link w:val="4"/>
    <w:semiHidden/>
    <w:qFormat/>
    <w:uiPriority w:val="0"/>
    <w:rPr>
      <w:rFonts w:ascii="Times New Roman" w:hAnsi="Times New Roman" w:eastAsia="宋体" w:cs="Times New Roman"/>
      <w:szCs w:val="24"/>
    </w:rPr>
  </w:style>
  <w:style w:type="character" w:customStyle="1" w:styleId="16">
    <w:name w:val="纯文本 Char"/>
    <w:basedOn w:val="11"/>
    <w:link w:val="3"/>
    <w:semiHidden/>
    <w:qFormat/>
    <w:uiPriority w:val="0"/>
    <w:rPr>
      <w:rFonts w:ascii="宋体" w:hAnsi="Courier New" w:eastAsia="宋体" w:cs="Courier New"/>
      <w:szCs w:val="21"/>
    </w:rPr>
  </w:style>
  <w:style w:type="character" w:customStyle="1" w:styleId="17">
    <w:name w:val="批注框文本 Char"/>
    <w:basedOn w:val="11"/>
    <w:link w:val="5"/>
    <w:semiHidden/>
    <w:qFormat/>
    <w:uiPriority w:val="0"/>
    <w:rPr>
      <w:rFonts w:ascii="Times New Roman" w:hAnsi="Times New Roman" w:eastAsia="仿宋_GB2312" w:cs="Times New Roman"/>
      <w:kern w:val="0"/>
      <w:sz w:val="18"/>
      <w:szCs w:val="18"/>
    </w:rPr>
  </w:style>
  <w:style w:type="paragraph" w:customStyle="1" w:styleId="18">
    <w:name w:val="Char"/>
    <w:basedOn w:val="1"/>
    <w:next w:val="1"/>
    <w:qFormat/>
    <w:uiPriority w:val="0"/>
    <w:pPr>
      <w:keepNext/>
      <w:keepLines/>
      <w:widowControl/>
      <w:adjustRightInd w:val="0"/>
      <w:spacing w:before="40" w:after="40" w:line="360" w:lineRule="auto"/>
      <w:ind w:firstLine="200" w:firstLineChars="200"/>
      <w:outlineLvl w:val="3"/>
    </w:pPr>
    <w:rPr>
      <w:rFonts w:cs="宋体"/>
      <w:b/>
      <w:sz w:val="24"/>
      <w:szCs w:val="28"/>
    </w:rPr>
  </w:style>
  <w:style w:type="paragraph" w:customStyle="1" w:styleId="19">
    <w:name w:val="默认段落字体 Para Char Char Char Char Char Char Char"/>
    <w:basedOn w:val="1"/>
    <w:qFormat/>
    <w:uiPriority w:val="0"/>
    <w:rPr>
      <w:rFonts w:eastAsia="宋体"/>
      <w:kern w:val="2"/>
      <w:sz w:val="21"/>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chart" Target="charts/chart7.xml"/><Relationship Id="rId15" Type="http://schemas.openxmlformats.org/officeDocument/2006/relationships/chart" Target="charts/chart6.xml"/><Relationship Id="rId14" Type="http://schemas.openxmlformats.org/officeDocument/2006/relationships/chart" Target="charts/chart5.xml"/><Relationship Id="rId13" Type="http://schemas.openxmlformats.org/officeDocument/2006/relationships/chart" Target="charts/chart4.xml"/><Relationship Id="rId12" Type="http://schemas.openxmlformats.org/officeDocument/2006/relationships/chart" Target="charts/chart3.xml"/><Relationship Id="rId11" Type="http://schemas.openxmlformats.org/officeDocument/2006/relationships/chart" Target="charts/chart2.xml"/><Relationship Id="rId10" Type="http://schemas.openxmlformats.org/officeDocument/2006/relationships/chart" Target="charts/chart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人员情况</c:v>
                </c:pt>
              </c:strCache>
            </c:strRef>
          </c:tx>
          <c:explosion val="0"/>
          <c:dPt>
            <c:idx val="0"/>
            <c:bubble3D val="0"/>
          </c:dPt>
          <c:dPt>
            <c:idx val="1"/>
            <c:bubble3D val="0"/>
          </c:dPt>
          <c:dPt>
            <c:idx val="2"/>
            <c:bubble3D val="0"/>
          </c:dPt>
          <c:dPt>
            <c:idx val="3"/>
            <c:bubble3D val="0"/>
          </c:dPt>
          <c:dLbls>
            <c:dLbl>
              <c:idx val="0"/>
              <c:layout>
                <c:manualLayout>
                  <c:x val="-0.0782788649131356"/>
                  <c:y val="-0.08962271356947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Sheet1!$A$2:$A$5</c:f>
              <c:strCache>
                <c:ptCount val="4"/>
                <c:pt idx="0">
                  <c:v>正式职工9人</c:v>
                </c:pt>
                <c:pt idx="1">
                  <c:v>工勤人员1人</c:v>
                </c:pt>
                <c:pt idx="2">
                  <c:v>公益性岗位2人</c:v>
                </c:pt>
                <c:pt idx="3">
                  <c:v>离退休人员1人</c:v>
                </c:pt>
              </c:strCache>
            </c:strRef>
          </c:cat>
          <c:val>
            <c:numRef>
              <c:f>Sheet1!$B$2:$B$5</c:f>
              <c:numCache>
                <c:formatCode>General</c:formatCode>
                <c:ptCount val="4"/>
                <c:pt idx="0">
                  <c:v>9</c:v>
                </c:pt>
                <c:pt idx="1">
                  <c:v>1</c:v>
                </c:pt>
                <c:pt idx="2">
                  <c:v>2</c:v>
                </c:pt>
                <c:pt idx="3">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87973782352574"/>
          <c:y val="0.413453596938154"/>
          <c:w val="0.197578830216654"/>
          <c:h val="0.30271064414161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收支对比图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173.25</c:v>
                </c:pt>
                <c:pt idx="1">
                  <c:v>127.7</c:v>
                </c:pt>
              </c:numCache>
            </c:numRef>
          </c:val>
        </c:ser>
        <c:dLbls>
          <c:showLegendKey val="0"/>
          <c:showVal val="0"/>
          <c:showCatName val="0"/>
          <c:showSerName val="0"/>
          <c:showPercent val="0"/>
          <c:showBubbleSize val="0"/>
        </c:dLbls>
        <c:gapWidth val="399"/>
        <c:overlap val="-67"/>
        <c:axId val="70818048"/>
        <c:axId val="70840320"/>
      </c:barChart>
      <c:catAx>
        <c:axId val="708180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40320"/>
        <c:crosses val="autoZero"/>
        <c:auto val="1"/>
        <c:lblAlgn val="ctr"/>
        <c:lblOffset val="100"/>
        <c:noMultiLvlLbl val="0"/>
      </c:catAx>
      <c:valAx>
        <c:axId val="708403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1804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收入</c:v>
                </c:pt>
                <c:pt idx="1">
                  <c:v>财政拨款</c:v>
                </c:pt>
              </c:strCache>
            </c:strRef>
          </c:cat>
          <c:val>
            <c:numRef>
              <c:f>Sheet1!$B$2:$B$3</c:f>
              <c:numCache>
                <c:formatCode>General</c:formatCode>
                <c:ptCount val="2"/>
                <c:pt idx="0">
                  <c:v>127.7</c:v>
                </c:pt>
                <c:pt idx="1">
                  <c:v>127.7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支出结构图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Sheet1!$A$2:$A$4</c:f>
              <c:strCache>
                <c:ptCount val="3"/>
                <c:pt idx="0">
                  <c:v>支出合计</c:v>
                </c:pt>
                <c:pt idx="1">
                  <c:v>基本支出</c:v>
                </c:pt>
                <c:pt idx="2">
                  <c:v>项目支出</c:v>
                </c:pt>
              </c:strCache>
            </c:strRef>
          </c:cat>
          <c:val>
            <c:numRef>
              <c:f>Sheet1!$B$2:$B$4</c:f>
              <c:numCache>
                <c:formatCode>General</c:formatCode>
                <c:ptCount val="3"/>
                <c:pt idx="0">
                  <c:v>127.7</c:v>
                </c:pt>
                <c:pt idx="1">
                  <c:v>97.7</c:v>
                </c:pt>
                <c:pt idx="2">
                  <c:v>30</c:v>
                </c:pt>
              </c:numCache>
            </c:numRef>
          </c:val>
        </c:ser>
        <c:dLbls>
          <c:showLegendKey val="0"/>
          <c:showVal val="0"/>
          <c:showCatName val="0"/>
          <c:showSerName val="0"/>
          <c:showPercent val="0"/>
          <c:showBubbleSize val="0"/>
        </c:dLbls>
        <c:gapWidth val="219"/>
        <c:overlap val="-27"/>
        <c:axId val="70892160"/>
        <c:axId val="70893952"/>
      </c:barChart>
      <c:catAx>
        <c:axId val="708921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93952"/>
        <c:crosses val="autoZero"/>
        <c:auto val="1"/>
        <c:lblAlgn val="ctr"/>
        <c:lblOffset val="100"/>
        <c:noMultiLvlLbl val="0"/>
      </c:catAx>
      <c:valAx>
        <c:axId val="7089395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0892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财政拨款收支对比图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173.25</c:v>
                </c:pt>
                <c:pt idx="1">
                  <c:v>127.7</c:v>
                </c:pt>
              </c:numCache>
            </c:numRef>
          </c:val>
        </c:ser>
        <c:dLbls>
          <c:showLegendKey val="0"/>
          <c:showVal val="0"/>
          <c:showCatName val="0"/>
          <c:showSerName val="0"/>
          <c:showPercent val="0"/>
          <c:showBubbleSize val="0"/>
        </c:dLbls>
        <c:gapWidth val="310"/>
        <c:overlap val="-27"/>
        <c:axId val="71475584"/>
        <c:axId val="71477120"/>
      </c:barChart>
      <c:catAx>
        <c:axId val="7147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77120"/>
        <c:crosses val="autoZero"/>
        <c:auto val="1"/>
        <c:lblAlgn val="ctr"/>
        <c:lblOffset val="100"/>
        <c:noMultiLvlLbl val="0"/>
      </c:catAx>
      <c:valAx>
        <c:axId val="7147712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47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财政拨款支出对比图</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金额（万元）</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173.25</c:v>
                </c:pt>
                <c:pt idx="1">
                  <c:v>127.7</c:v>
                </c:pt>
              </c:numCache>
            </c:numRef>
          </c:val>
        </c:ser>
        <c:dLbls>
          <c:showLegendKey val="0"/>
          <c:showVal val="0"/>
          <c:showCatName val="0"/>
          <c:showSerName val="0"/>
          <c:showPercent val="0"/>
          <c:showBubbleSize val="0"/>
        </c:dLbls>
        <c:gapWidth val="310"/>
        <c:overlap val="-27"/>
        <c:axId val="71505792"/>
        <c:axId val="71507328"/>
      </c:barChart>
      <c:catAx>
        <c:axId val="7150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07328"/>
        <c:crosses val="autoZero"/>
        <c:auto val="1"/>
        <c:lblAlgn val="ctr"/>
        <c:lblOffset val="100"/>
        <c:noMultiLvlLbl val="0"/>
      </c:catAx>
      <c:valAx>
        <c:axId val="715073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150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percentStacked"/>
        <c:varyColors val="0"/>
        <c:ser>
          <c:idx val="0"/>
          <c:order val="0"/>
          <c:tx>
            <c:strRef>
              <c:f>Sheet1!$B$1</c:f>
              <c:strCache>
                <c:ptCount val="1"/>
                <c:pt idx="0">
                  <c:v>三公经费财政拨款支出</c:v>
                </c:pt>
              </c:strCache>
            </c:strRef>
          </c:tx>
          <c:invertIfNegative val="0"/>
          <c:dLbls>
            <c:delete val="1"/>
          </c:dLbls>
          <c:cat>
            <c:strRef>
              <c:f>Sheet1!$A$2:$A$5</c:f>
              <c:strCache>
                <c:ptCount val="4"/>
                <c:pt idx="0">
                  <c:v>因公出国（境)</c:v>
                </c:pt>
                <c:pt idx="1">
                  <c:v>公务用车购置费</c:v>
                </c:pt>
                <c:pt idx="2">
                  <c:v>公务用车运行维护费</c:v>
                </c:pt>
                <c:pt idx="3">
                  <c:v>公务接待费</c:v>
                </c:pt>
              </c:strCache>
            </c:strRef>
          </c:cat>
          <c:val>
            <c:numRef>
              <c:f>Sheet1!$B$2:$B$5</c:f>
              <c:numCache>
                <c:formatCode>0%</c:formatCode>
                <c:ptCount val="4"/>
                <c:pt idx="0">
                  <c:v>0</c:v>
                </c:pt>
                <c:pt idx="1" c:formatCode="General">
                  <c:v>0</c:v>
                </c:pt>
                <c:pt idx="2" c:formatCode="General">
                  <c:v>0</c:v>
                </c:pt>
                <c:pt idx="3" c:formatCode="General">
                  <c:v>0</c:v>
                </c:pt>
              </c:numCache>
            </c:numRef>
          </c:val>
        </c:ser>
        <c:dLbls>
          <c:showLegendKey val="0"/>
          <c:showVal val="0"/>
          <c:showCatName val="0"/>
          <c:showSerName val="0"/>
          <c:showPercent val="0"/>
          <c:showBubbleSize val="0"/>
        </c:dLbls>
        <c:gapWidth val="150"/>
        <c:overlap val="100"/>
        <c:axId val="70609920"/>
        <c:axId val="70640384"/>
      </c:barChart>
      <c:catAx>
        <c:axId val="706099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640384"/>
        <c:crosses val="autoZero"/>
        <c:auto val="1"/>
        <c:lblAlgn val="ctr"/>
        <c:lblOffset val="100"/>
        <c:noMultiLvlLbl val="0"/>
      </c:catAx>
      <c:valAx>
        <c:axId val="70640384"/>
        <c:scaling>
          <c:orientation val="minMax"/>
        </c:scaling>
        <c:delete val="0"/>
        <c:axPos val="l"/>
        <c:majorGridlines>
          <c:spPr>
            <a:ln w="9525" cap="flat" cmpd="sng" algn="ctr">
              <a:noFill/>
              <a:prstDash val="solid"/>
              <a:round/>
            </a:ln>
          </c:spPr>
        </c:majorGridlines>
        <c:numFmt formatCode="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70609920"/>
        <c:crosses val="autoZero"/>
        <c:crossBetween val="between"/>
        <c:majorUnit val="0.2"/>
      </c:valAx>
    </c:plotArea>
    <c:plotVisOnly val="1"/>
    <c:dispBlanksAs val="gap"/>
    <c:showDLblsOverMax val="0"/>
  </c:chart>
  <c:spPr>
    <a:noFill/>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1721</Words>
  <Characters>9814</Characters>
  <Lines>81</Lines>
  <Paragraphs>23</Paragraphs>
  <TotalTime>0</TotalTime>
  <ScaleCrop>false</ScaleCrop>
  <LinksUpToDate>false</LinksUpToDate>
  <CharactersWithSpaces>11512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2021-09-16T02:59:00Z</dcterms:created>
  <dc:creator>江瑞</dc:creator>
  <cp:lastModifiedBy>九步皆爱</cp:lastModifiedBy>
  <dcterms:modified xsi:type="dcterms:W3CDTF">2021-09-26T08:36:14Z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