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hint="eastAsia" w:ascii="方正小标宋简体" w:hAnsi="方正小标宋简体" w:eastAsia="方正小标宋简体" w:cs="方正小标宋简体"/>
          <w:sz w:val="60"/>
          <w:szCs w:val="60"/>
          <w:lang w:val="en-US" w:eastAsia="zh-CN"/>
        </w:rPr>
      </w:pPr>
      <w:r>
        <w:rPr>
          <w:rFonts w:hint="eastAsia" w:ascii="方正小标宋简体" w:hAnsi="方正小标宋简体" w:eastAsia="方正小标宋简体" w:cs="方正小标宋简体"/>
          <w:sz w:val="60"/>
          <w:szCs w:val="60"/>
          <w:lang w:val="en-US" w:eastAsia="zh-CN"/>
        </w:rPr>
        <w:t>镇安县经济贸易局</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
    <w:p/>
    <w:p/>
    <w:p/>
    <w:p/>
    <w:p/>
    <w:p/>
    <w:p/>
    <w:p>
      <w:pPr>
        <w:jc w:val="left"/>
      </w:pPr>
    </w:p>
    <w:p>
      <w:pPr>
        <w:jc w:val="left"/>
      </w:pPr>
    </w:p>
    <w:p>
      <w:pPr>
        <w:ind w:firstLine="2212" w:firstLineChars="700"/>
        <w:jc w:val="left"/>
        <w:rPr>
          <w:rFonts w:hint="eastAsia" w:ascii="黑体" w:hAnsi="黑体" w:eastAsia="黑体" w:cs="黑体"/>
        </w:rPr>
      </w:pPr>
      <w:r>
        <w:rPr>
          <w:rFonts w:hint="eastAsia" w:ascii="黑体" w:hAnsi="黑体" w:eastAsia="黑体" w:cs="黑体"/>
        </w:rPr>
        <w:t>保密审查情况：已审查</w:t>
      </w:r>
    </w:p>
    <w:p>
      <w:pPr>
        <w:ind w:left="3470" w:leftChars="700" w:hanging="1258" w:hangingChars="398"/>
        <w:rPr>
          <w:rFonts w:hint="eastAsia" w:ascii="黑体" w:hAnsi="黑体" w:eastAsia="黑体" w:cs="黑体"/>
        </w:rPr>
      </w:pPr>
      <w:r>
        <w:rPr>
          <w:rFonts w:hint="eastAsia" w:ascii="黑体" w:hAnsi="黑体" w:eastAsia="黑体" w:cs="黑体"/>
        </w:rPr>
        <w:t>部门负责人审签情况：已审签</w:t>
      </w:r>
    </w:p>
    <w:p>
      <w:pPr>
        <w:ind w:left="4668" w:leftChars="100" w:hanging="4352" w:hangingChars="998"/>
        <w:jc w:val="center"/>
        <w:rPr>
          <w:rFonts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668" w:leftChars="100" w:hanging="4352"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spacing w:line="400" w:lineRule="exact"/>
        <w:rPr>
          <w:rFonts w:ascii="仿宋_GB2312" w:hAnsi="仿宋_GB2312" w:cs="仿宋_GB2312"/>
        </w:rPr>
      </w:pPr>
    </w:p>
    <w:p>
      <w:pPr>
        <w:spacing w:line="560" w:lineRule="exact"/>
        <w:ind w:firstLine="632" w:firstLineChars="200"/>
        <w:rPr>
          <w:rFonts w:ascii="黑体" w:hAnsi="黑体" w:eastAsia="黑体" w:cs="黑体"/>
          <w:sz w:val="32"/>
          <w:szCs w:val="32"/>
        </w:rPr>
      </w:pPr>
      <w:r>
        <w:rPr>
          <w:rFonts w:hint="eastAsia" w:ascii="黑体" w:hAnsi="黑体" w:eastAsia="黑体" w:cs="黑体"/>
          <w:sz w:val="32"/>
          <w:szCs w:val="32"/>
        </w:rPr>
        <w:t>一、部门主要职责及内设机构</w:t>
      </w:r>
    </w:p>
    <w:p>
      <w:pPr>
        <w:spacing w:line="560" w:lineRule="exact"/>
        <w:ind w:firstLine="632" w:firstLineChars="200"/>
        <w:rPr>
          <w:rFonts w:ascii="华文楷体" w:hAnsi="华文楷体" w:eastAsia="华文楷体" w:cs="楷体_GB2312"/>
          <w:bCs/>
          <w:sz w:val="32"/>
          <w:szCs w:val="32"/>
        </w:rPr>
      </w:pPr>
      <w:r>
        <w:rPr>
          <w:rFonts w:hint="eastAsia" w:ascii="华文楷体" w:hAnsi="华文楷体" w:eastAsia="华文楷体" w:cs="楷体_GB2312"/>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出全县新型工业化发展战略和政策，协调解决新型工业化进程中的重大问题；拟定并组织实施全县工业化、信息化发展规划及行业规划，提出优化产业布局和结构调整的政策建议，推进产业结构调整和优化升级；推进全县工业和信息化融合，提升信息化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贯彻落实国家有关工业和信息化的法律法规和政策，拟定并组织实施全县工业行业产业政策；负责开展依法行政和法制工作；监测分析全县工业运行态势，发布相关信息，研究工业运行中重大问题并提出政策建议；推动淘汰落后产能、化解过剩产能，推动企业兼并重组、工业设计；组织实施相关行业准入公告管理；组织应对有关重大突发性事件，加强工业应急管理、产业安全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3.负责提出全县工业和信息化固定资产投资规模和方向（含利用外资和境外投资）、县级财政性建设资金安排意见，按照市、县政府规定权限审批、核准工业固定资产投资项目和政府投资的信息化项目。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贯彻实施国家高新技术产业中涉及生物医药、新材料等的规划、政策和标准并组织实施；依据国家产业政策和行业法规，组织拟定全县有色、黄金、化工、医药、煤运、装饰、建材等行业管理办法，并组织实施，指导行业技术创新和技术进步，以先进实用技术改造提升传统产业；负责室内装饰和包装行业管理；组织实施有关中、省、市、县科技重大项目，推进相关科研成果产业化，推动全县软件业、信息服务业和新兴产业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贯彻执行国家重大技术装备发展和自主创新的规划、政策，依托国家重点工程建设协调有关重大专项的实施，推进重大技术装备国产化，指导引进重大技术装备的消化创新；拟定并组织实施全县工业和信息产业能源节约和资源综合利用、清洁生产促进政策，参与拟定能源和资源综合利用、清洁生产促进规划；组织协调相关重大示范工程和新产品、新技术、新设备、新材料的推广应用；指导相关行业加强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贯彻执行国家信息化建设的方针政策，统筹推进全县信息化工作，指导协调电子政务发展，推动跨行业、跨部门的互联互通和重要信息资源的开发利用、共享；协助省、市工信部门对在镇安的无线电、公用通信网、互联网、专用通信网的运行和电信与信息服务市场进行监督与服务，协调县内电信资源分配，推进电信普遍服务，保障重要通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7.贯彻国家有关招投标工作的法律法规，拟定全县工业和信息产业招投标工作的规范性文件，负责全县工业和信息产业招投标活动的管理。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8.履行出资人职责，指导推进国有企业改革和重组，加强国有资产管理工作；推进国有企业的现代企业制度建设，完善公司法人治理结构，推动国有经济结构和布局的战略性调整。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9.通过统计、稽核对所监管国有资产的保值增值情况进行监管；建立和完善国有资产保值增值指标体系，拟定考核标准；维护国有资产出资方的权益；依法对全县国有资产管理进行指导和监督。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按照有关规定，代表县政府向县属部分国有企业派出监事会；负责监事会的日常管理工作；通过法定程序提出县属国有企业负责人任免意见、考核，并根据其经营业绩进行奖惩；建立符合社会主义市场经济体制和现代企业制度要求的选人、用人机制，完善经营者激励和约束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贯彻执行有关中小企业、非公有制经济、县域工业化的法律法规和方针政策，研究拟定相关规范性文件及政策措施；引导非公有制企业建立现代企业制度；负责协调、指导和服务全县中小企业、非公有制经济发展，培育市场主体，促进企业成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12.负责拟定并组织实施全县中小企业、非公有制经济发展战略、中长期发展规划和年度目标计划，促进结构调整和转型升级；负责全县中小企业、非公有制经济发展运行情况的统计、分析、监测和评价。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负责全县县域工业化、联系县域工业集中区的发展；指导中小企业招商引资与合作交流；负责企业自主创新和技术创新，开展技术改造、新产品开发、新技术推广、市场开拓、专业化发展和品牌建设；负责中小企业、非公有制经济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14.负责全县中小企业服务体系建设；组织服务机构对创业者和中小企业开展服务；协调减轻中小企业负担工作；负责中小企业信用担保体系建设；指导企业融资。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15.贯彻落实国家有关商贸流通业法律、法规、规章和政策；拟定全县内外贸易、对外投资、对外经济合作的相关政策措施。指导外商投资管理服务工作。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16.负责推进流通产业结构调整；指导流通企业改革和商业发展;提出促进商贸流通业发展的政策建议，推动流通标准化和连锁经营、商业特许经营、物流配送、电子商务等现代流通方式的发展。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制定全县商贸物流发展规划并组织实施；研究提出引导市场体系建设资金投向的政策规定；指导大宗产品批发市场规划和城市商业网点规划、商业体系建设工作；推进农村市场体系建设，组织实施农村现代流通网络工程，促进城乡市场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承担牵头协调整顿和规范市场经济秩序的责任。贯彻执行国家规范市场运行、流通秩序的政策，推动商务领域信用建设；指导全县商务信用销售，建立市场诚信公共服务平台；按有关规定对特殊流通行业进行监督管理。参与打击侵犯知识产权和制售假冒伪劣商品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承担组织实施全县重要消费品市场调控和重要生产资料流通管理的责任。负责建立健全全市生活必需品市场供应应急管理机制，监测分析市场运行、商品供求状况，调查分析商品价格信息，进行预测预警和信息引导；按分工负责重要消费品储备管理和市场调控工作。</w:t>
      </w:r>
    </w:p>
    <w:p>
      <w:pPr>
        <w:spacing w:line="560" w:lineRule="exact"/>
        <w:ind w:firstLine="632" w:firstLineChars="200"/>
        <w:rPr>
          <w:rFonts w:ascii="华文楷体" w:hAnsi="华文楷体" w:eastAsia="华文楷体" w:cs="楷体_GB2312"/>
          <w:bCs/>
          <w:sz w:val="32"/>
          <w:szCs w:val="32"/>
        </w:rPr>
      </w:pPr>
      <w:r>
        <w:rPr>
          <w:rFonts w:hint="eastAsia" w:ascii="华文楷体" w:hAnsi="华文楷体" w:eastAsia="华文楷体" w:cs="楷体_GB2312"/>
          <w:bCs/>
          <w:sz w:val="32"/>
          <w:szCs w:val="32"/>
        </w:rPr>
        <w:t>（二）内设机构</w:t>
      </w:r>
    </w:p>
    <w:p>
      <w:pPr>
        <w:spacing w:line="560" w:lineRule="exact"/>
        <w:ind w:firstLine="632" w:firstLineChars="200"/>
        <w:rPr>
          <w:rFonts w:hint="eastAsia" w:ascii="黑体" w:hAnsi="黑体" w:eastAsia="黑体" w:cs="黑体"/>
          <w:sz w:val="32"/>
          <w:szCs w:val="32"/>
        </w:rPr>
      </w:pPr>
      <w:r>
        <w:rPr>
          <w:rFonts w:hint="eastAsia" w:ascii="仿宋_GB2312" w:hAnsi="仿宋_GB2312" w:cs="仿宋_GB2312"/>
          <w:sz w:val="32"/>
          <w:szCs w:val="32"/>
          <w:highlight w:val="none"/>
        </w:rPr>
        <w:t>根据上述职责，本部门2019年内设</w:t>
      </w:r>
      <w:r>
        <w:rPr>
          <w:rFonts w:hint="eastAsia" w:ascii="仿宋_GB2312" w:hAnsi="仿宋_GB2312" w:cs="仿宋_GB2312"/>
          <w:sz w:val="32"/>
          <w:szCs w:val="32"/>
          <w:highlight w:val="none"/>
          <w:lang w:val="en-US" w:eastAsia="zh-CN"/>
        </w:rPr>
        <w:t>5</w:t>
      </w:r>
      <w:r>
        <w:rPr>
          <w:rFonts w:hint="eastAsia" w:ascii="仿宋_GB2312" w:hAnsi="仿宋_GB2312" w:cs="仿宋_GB2312"/>
          <w:sz w:val="32"/>
          <w:szCs w:val="32"/>
          <w:highlight w:val="none"/>
        </w:rPr>
        <w:t>个股室（包括：办公室</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运行监测股、发展规划股、安全生产股、国资监管股</w:t>
      </w:r>
      <w:r>
        <w:rPr>
          <w:rFonts w:hint="eastAsia" w:ascii="仿宋_GB2312" w:hAnsi="仿宋_GB2312" w:cs="仿宋_GB2312"/>
          <w:sz w:val="32"/>
          <w:szCs w:val="32"/>
          <w:highlight w:val="none"/>
        </w:rPr>
        <w:t>）</w:t>
      </w:r>
    </w:p>
    <w:p>
      <w:pPr>
        <w:spacing w:line="560" w:lineRule="exact"/>
        <w:ind w:firstLine="632" w:firstLineChars="200"/>
        <w:rPr>
          <w:rFonts w:ascii="黑体" w:hAnsi="黑体" w:eastAsia="黑体" w:cs="黑体"/>
          <w:sz w:val="32"/>
          <w:szCs w:val="32"/>
        </w:rPr>
      </w:pPr>
      <w:r>
        <w:rPr>
          <w:rFonts w:hint="eastAsia" w:ascii="黑体" w:hAnsi="黑体" w:eastAsia="黑体" w:cs="黑体"/>
          <w:sz w:val="32"/>
          <w:szCs w:val="32"/>
        </w:rPr>
        <w:t>二、部门决算单位构成</w:t>
      </w:r>
    </w:p>
    <w:p>
      <w:pPr>
        <w:spacing w:line="560" w:lineRule="exact"/>
        <w:ind w:left="-3" w:leftChars="-1" w:firstLine="632" w:firstLineChars="200"/>
        <w:rPr>
          <w:rFonts w:ascii="仿宋_GB2312" w:hAnsi="仿宋_GB2312" w:cs="仿宋_GB2312"/>
          <w:sz w:val="32"/>
          <w:szCs w:val="32"/>
        </w:rPr>
      </w:pPr>
      <w:r>
        <w:rPr>
          <w:rFonts w:hint="eastAsia" w:ascii="仿宋_GB2312" w:hAnsi="仿宋_GB2312" w:cs="仿宋_GB2312"/>
          <w:sz w:val="32"/>
          <w:szCs w:val="32"/>
        </w:rPr>
        <w:t>纳入2019年本部门决算编制范围的单位</w:t>
      </w:r>
      <w:r>
        <w:rPr>
          <w:rFonts w:hint="eastAsia" w:ascii="仿宋_GB2312" w:hAnsi="仿宋_GB2312" w:cs="仿宋_GB2312"/>
          <w:sz w:val="32"/>
          <w:szCs w:val="32"/>
          <w:lang w:val="en-US" w:eastAsia="zh-CN"/>
        </w:rPr>
        <w:t>仅1</w:t>
      </w:r>
      <w:r>
        <w:rPr>
          <w:rFonts w:hint="eastAsia" w:ascii="仿宋_GB2312" w:hAnsi="仿宋_GB2312" w:cs="仿宋_GB2312"/>
          <w:sz w:val="32"/>
          <w:szCs w:val="32"/>
        </w:rPr>
        <w:t>个</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为本部门机关</w:t>
      </w:r>
      <w:r>
        <w:rPr>
          <w:rFonts w:hint="eastAsia" w:ascii="仿宋_GB2312" w:hAnsi="仿宋_GB2312" w:cs="仿宋_GB2312"/>
          <w:sz w:val="32"/>
          <w:szCs w:val="32"/>
        </w:rPr>
        <w:t>：</w:t>
      </w:r>
    </w:p>
    <w:tbl>
      <w:tblPr>
        <w:tblStyle w:val="9"/>
        <w:tblW w:w="6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59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1</w:t>
            </w:r>
          </w:p>
        </w:tc>
        <w:tc>
          <w:tcPr>
            <w:tcW w:w="59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sz w:val="28"/>
                <w:szCs w:val="28"/>
              </w:rPr>
            </w:pPr>
            <w:r>
              <w:rPr>
                <w:rFonts w:hint="eastAsia" w:ascii="仿宋" w:hAnsi="仿宋" w:eastAsia="仿宋"/>
                <w:sz w:val="32"/>
                <w:szCs w:val="32"/>
              </w:rPr>
              <w:t>镇安县经济贸易局</w:t>
            </w:r>
            <w:r>
              <w:rPr>
                <w:rFonts w:ascii="仿宋" w:hAnsi="仿宋" w:eastAsia="仿宋"/>
                <w:sz w:val="32"/>
                <w:szCs w:val="32"/>
              </w:rPr>
              <w:t>本级</w:t>
            </w:r>
            <w:r>
              <w:rPr>
                <w:rFonts w:hint="eastAsia" w:ascii="仿宋" w:hAnsi="仿宋" w:eastAsia="仿宋"/>
                <w:sz w:val="32"/>
                <w:szCs w:val="32"/>
              </w:rPr>
              <w:t>（机关）</w:t>
            </w:r>
          </w:p>
        </w:tc>
      </w:tr>
    </w:tbl>
    <w:p>
      <w:pPr>
        <w:spacing w:line="540" w:lineRule="exact"/>
        <w:ind w:firstLine="632" w:firstLineChars="200"/>
        <w:rPr>
          <w:rFonts w:ascii="黑体" w:hAnsi="黑体" w:eastAsia="黑体" w:cs="黑体"/>
          <w:sz w:val="32"/>
          <w:szCs w:val="32"/>
        </w:rPr>
      </w:pPr>
      <w:r>
        <w:rPr>
          <w:rFonts w:hint="eastAsia" w:ascii="黑体" w:hAnsi="黑体" w:eastAsia="黑体" w:cs="黑体"/>
          <w:sz w:val="32"/>
          <w:szCs w:val="32"/>
        </w:rPr>
        <w:t>三、部门人员情况</w:t>
      </w:r>
    </w:p>
    <w:p>
      <w:pPr>
        <w:spacing w:line="540" w:lineRule="exact"/>
        <w:ind w:firstLine="632" w:firstLineChars="200"/>
        <w:rPr>
          <w:rFonts w:ascii="仿宋_GB2312" w:hAnsi="仿宋_GB2312" w:cs="仿宋_GB2312"/>
          <w:sz w:val="32"/>
          <w:szCs w:val="32"/>
        </w:rPr>
      </w:pPr>
      <w:r>
        <w:rPr>
          <w:rFonts w:hint="eastAsia" w:ascii="仿宋_GB2312" w:hAnsi="仿宋_GB2312" w:cs="仿宋_GB2312"/>
          <w:sz w:val="32"/>
          <w:szCs w:val="32"/>
        </w:rPr>
        <w:t>截止2020年底，本部门人员编制</w:t>
      </w:r>
      <w:r>
        <w:rPr>
          <w:rFonts w:hint="eastAsia" w:ascii="仿宋_GB2312" w:hAnsi="仿宋_GB2312" w:cs="仿宋_GB2312"/>
          <w:sz w:val="32"/>
          <w:szCs w:val="32"/>
          <w:lang w:val="en-US" w:eastAsia="zh-CN"/>
        </w:rPr>
        <w:t>12</w:t>
      </w:r>
      <w:r>
        <w:rPr>
          <w:rFonts w:hint="eastAsia" w:ascii="仿宋_GB2312" w:hAnsi="仿宋_GB2312" w:cs="仿宋_GB2312"/>
          <w:sz w:val="32"/>
          <w:szCs w:val="32"/>
        </w:rPr>
        <w:t>人，其中行政编制</w:t>
      </w:r>
      <w:r>
        <w:rPr>
          <w:rFonts w:hint="eastAsia" w:ascii="仿宋_GB2312" w:hAnsi="仿宋_GB2312" w:cs="仿宋_GB2312"/>
          <w:sz w:val="32"/>
          <w:szCs w:val="32"/>
          <w:lang w:val="en-US" w:eastAsia="zh-CN"/>
        </w:rPr>
        <w:t>10</w:t>
      </w:r>
      <w:r>
        <w:rPr>
          <w:rFonts w:hint="eastAsia" w:ascii="仿宋_GB2312" w:hAnsi="仿宋_GB2312" w:cs="仿宋_GB2312"/>
          <w:sz w:val="32"/>
          <w:szCs w:val="32"/>
        </w:rPr>
        <w:t>人、</w:t>
      </w:r>
      <w:r>
        <w:rPr>
          <w:rFonts w:hint="eastAsia" w:ascii="仿宋_GB2312" w:hAnsi="仿宋_GB2312" w:cs="仿宋_GB2312"/>
          <w:sz w:val="32"/>
          <w:szCs w:val="32"/>
          <w:lang w:val="en-US" w:eastAsia="zh-CN"/>
        </w:rPr>
        <w:t>工勤编制2人、其他借调和临聘人员4人</w:t>
      </w:r>
      <w:r>
        <w:rPr>
          <w:rFonts w:hint="eastAsia" w:ascii="仿宋_GB2312" w:hAnsi="仿宋_GB2312" w:cs="仿宋_GB2312"/>
          <w:sz w:val="32"/>
          <w:szCs w:val="32"/>
        </w:rPr>
        <w:t>；实有人员</w:t>
      </w:r>
      <w:r>
        <w:rPr>
          <w:rFonts w:hint="eastAsia" w:ascii="仿宋_GB2312" w:hAnsi="仿宋_GB2312" w:cs="仿宋_GB2312"/>
          <w:sz w:val="32"/>
          <w:szCs w:val="32"/>
          <w:lang w:val="en-US" w:eastAsia="zh-CN"/>
        </w:rPr>
        <w:t>16</w:t>
      </w:r>
      <w:r>
        <w:rPr>
          <w:rFonts w:hint="eastAsia" w:ascii="仿宋_GB2312" w:hAnsi="仿宋_GB2312" w:cs="仿宋_GB2312"/>
          <w:sz w:val="32"/>
          <w:szCs w:val="32"/>
        </w:rPr>
        <w:t>人，其中行政</w:t>
      </w:r>
      <w:r>
        <w:rPr>
          <w:rFonts w:hint="eastAsia" w:ascii="仿宋_GB2312" w:hAnsi="仿宋_GB2312" w:cs="仿宋_GB2312"/>
          <w:sz w:val="32"/>
          <w:szCs w:val="32"/>
          <w:lang w:val="en-US" w:eastAsia="zh-CN"/>
        </w:rPr>
        <w:t>15</w:t>
      </w:r>
      <w:r>
        <w:rPr>
          <w:rFonts w:hint="eastAsia" w:ascii="仿宋_GB2312" w:hAnsi="仿宋_GB2312" w:cs="仿宋_GB2312"/>
          <w:sz w:val="32"/>
          <w:szCs w:val="32"/>
        </w:rPr>
        <w:t>人、</w:t>
      </w:r>
      <w:r>
        <w:rPr>
          <w:rFonts w:hint="eastAsia" w:ascii="仿宋_GB2312" w:hAnsi="仿宋_GB2312" w:cs="仿宋_GB2312"/>
          <w:sz w:val="32"/>
          <w:szCs w:val="32"/>
          <w:lang w:val="en-US" w:eastAsia="zh-CN"/>
        </w:rPr>
        <w:t>工勤1</w:t>
      </w:r>
      <w:r>
        <w:rPr>
          <w:rFonts w:hint="eastAsia" w:ascii="仿宋_GB2312" w:hAnsi="仿宋_GB2312" w:cs="仿宋_GB2312"/>
          <w:sz w:val="32"/>
          <w:szCs w:val="32"/>
        </w:rPr>
        <w:t>人</w:t>
      </w:r>
      <w:r>
        <w:rPr>
          <w:rFonts w:hint="eastAsia" w:ascii="仿宋_GB2312" w:hAnsi="仿宋_GB2312" w:cs="仿宋_GB2312"/>
          <w:sz w:val="32"/>
          <w:szCs w:val="32"/>
          <w:lang w:eastAsia="zh-CN"/>
        </w:rPr>
        <w:t>。</w:t>
      </w:r>
      <w:r>
        <w:rPr>
          <w:rFonts w:hint="eastAsia" w:ascii="仿宋_GB2312" w:hAnsi="仿宋_GB2312" w:cs="仿宋_GB2312"/>
          <w:sz w:val="32"/>
          <w:szCs w:val="32"/>
        </w:rPr>
        <w:t>单位管理的退休人员</w:t>
      </w:r>
      <w:r>
        <w:rPr>
          <w:rFonts w:hint="eastAsia" w:ascii="仿宋_GB2312" w:hAnsi="仿宋_GB2312" w:cs="仿宋_GB2312"/>
          <w:sz w:val="32"/>
          <w:szCs w:val="32"/>
          <w:lang w:val="en-US" w:eastAsia="zh-CN"/>
        </w:rPr>
        <w:t>39</w:t>
      </w:r>
      <w:r>
        <w:rPr>
          <w:rFonts w:hint="eastAsia" w:ascii="仿宋_GB2312" w:hAnsi="仿宋_GB2312" w:cs="仿宋_GB2312"/>
          <w:sz w:val="32"/>
          <w:szCs w:val="32"/>
        </w:rPr>
        <w:t>人。</w:t>
      </w:r>
    </w:p>
    <w:p>
      <w:pPr>
        <w:jc w:val="center"/>
        <w:rPr>
          <w:rFonts w:hint="eastAsia" w:ascii="仿宋" w:hAnsi="仿宋" w:eastAsia="仿宋"/>
          <w:sz w:val="32"/>
          <w:szCs w:val="32"/>
        </w:rPr>
      </w:pPr>
      <w:r>
        <w:rPr>
          <w:rFonts w:hint="eastAsia" w:ascii="仿宋" w:hAnsi="仿宋" w:eastAsia="仿宋"/>
          <w:sz w:val="32"/>
          <w:szCs w:val="32"/>
        </w:rPr>
        <w:drawing>
          <wp:inline distT="0" distB="0" distL="114300" distR="114300">
            <wp:extent cx="5030470" cy="3141980"/>
            <wp:effectExtent l="4445" t="4445" r="698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eastAsia" w:ascii="仿宋" w:hAnsi="仿宋" w:eastAsia="仿宋"/>
          <w:sz w:val="32"/>
          <w:szCs w:val="32"/>
        </w:rPr>
      </w:pP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9"/>
        <w:tblW w:w="901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189"/>
        <w:gridCol w:w="144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是</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本部门无政府性基金收支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表9</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国有资本经营预算财政拨款支出决算表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本部门无国有资本经营收支</w:t>
            </w:r>
          </w:p>
        </w:tc>
      </w:tr>
    </w:tbl>
    <w:p>
      <w:pPr>
        <w:jc w:val="center"/>
        <w:rPr>
          <w:rFonts w:hint="eastAsia" w:ascii="方正小标宋简体" w:hAnsi="方正小标宋简体" w:eastAsia="方正小标宋简体" w:cs="方正小标宋简体"/>
          <w:sz w:val="36"/>
          <w:szCs w:val="36"/>
        </w:rPr>
      </w:pPr>
    </w:p>
    <w:p>
      <w:pPr>
        <w:jc w:val="both"/>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3043</w:t>
            </w:r>
            <w:r>
              <w:rPr>
                <w:rFonts w:hint="eastAsia" w:ascii="宋体" w:hAnsi="宋体" w:eastAsia="宋体" w:cs="宋体"/>
                <w:sz w:val="20"/>
                <w:szCs w:val="20"/>
                <w:lang w:eastAsia="zh-CN"/>
              </w:rPr>
              <w:t>.</w:t>
            </w:r>
            <w:r>
              <w:rPr>
                <w:rFonts w:hint="eastAsia" w:ascii="宋体" w:hAnsi="宋体" w:eastAsia="宋体" w:cs="宋体"/>
                <w:sz w:val="20"/>
                <w:szCs w:val="20"/>
              </w:rPr>
              <w:t>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3043.7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98.12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3141.85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3141.85</w:t>
            </w: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b/>
          <w:bCs/>
          <w:sz w:val="20"/>
          <w:szCs w:val="20"/>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956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02"/>
        <w:gridCol w:w="940"/>
        <w:gridCol w:w="966"/>
        <w:gridCol w:w="708"/>
        <w:gridCol w:w="851"/>
        <w:gridCol w:w="850"/>
        <w:gridCol w:w="554"/>
        <w:gridCol w:w="90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3043.72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3043.72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304.77</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304.77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20113</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lang w:val="en-US" w:eastAsia="zh-CN"/>
              </w:rPr>
              <w:t>商贸事务</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242.76</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242.76</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2011301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行政运行</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191.24</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191.24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2011308</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lang w:val="en-US" w:eastAsia="zh-CN"/>
              </w:rPr>
              <w:t>招商引资</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2011399</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其他商贸事务支出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44.52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44.52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2019999</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其他一般公共服务支出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62.02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62.02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社会保障和就业支出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20805</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行政事业单位养老支出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2080505</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机关事业单位基本养老保险缴费支出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节能环保支出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21199</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其他节能环保支出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2119901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其他节能环保支出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资源勘探工业信息等支出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1027</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21505</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工业和信息产业监管</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588</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588</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2150510</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工业和信息产业支持</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588</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588</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21508</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支持中小企业发展和管理支出</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439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439</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2150805</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中小企业发展专项</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439</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748"/>
        <w:gridCol w:w="1053"/>
        <w:gridCol w:w="941"/>
        <w:gridCol w:w="992"/>
        <w:gridCol w:w="855"/>
        <w:gridCol w:w="61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9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功能科目编码</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7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3063.55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266.29</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2797.25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256.34</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244.34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商贸事务</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215.30</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203.30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2011301</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行政运行</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203.11</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203.11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2011308</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招商引资</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0.00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2011399</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其他商贸事务支出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0.18</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0.18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20199</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其他一般公共服务支出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41.04</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41.04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2019999</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其他一般公共服务支出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41.04</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lang w:val="en-US"/>
              </w:rPr>
            </w:pPr>
            <w:r>
              <w:rPr>
                <w:rFonts w:hint="eastAsia" w:ascii="宋体" w:hAnsi="宋体" w:eastAsia="宋体" w:cs="宋体"/>
                <w:i w:val="0"/>
                <w:color w:val="000000"/>
                <w:kern w:val="0"/>
                <w:sz w:val="20"/>
                <w:szCs w:val="20"/>
                <w:u w:val="none"/>
                <w:lang w:val="en-US" w:eastAsia="zh-CN" w:bidi="ar"/>
              </w:rPr>
              <w:t>41.04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社会保障和就业支出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20805</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行政事业单位养老支出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2080505</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节能环保支出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21199</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其他节能环保支出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2119901</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其他节能环保支出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资源勘探工业信息等支出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1095.25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1095.25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21505</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工业和信息产业监管</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2150510</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工业和信息产业支持</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21508</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支持中小企业发展和管理支出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490.25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490.25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2150805</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中小企业发展专项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461</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461</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2150899</w:t>
            </w:r>
          </w:p>
        </w:tc>
        <w:tc>
          <w:tcPr>
            <w:tcW w:w="27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其他支持中小企业发展和管理支出</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29.25</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29.25</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13"/>
        <w:gridCol w:w="1741"/>
        <w:gridCol w:w="950"/>
        <w:gridCol w:w="124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53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3043.72</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256.34</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256.34</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2、外交支出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3、国防支出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5、教育支出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21.95</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eastAsia="zh-CN"/>
              </w:rPr>
            </w:pPr>
            <w:r>
              <w:rPr>
                <w:rFonts w:hint="eastAsia" w:ascii="宋体" w:hAnsi="宋体" w:eastAsia="宋体" w:cs="宋体"/>
                <w:sz w:val="20"/>
                <w:szCs w:val="20"/>
              </w:rPr>
              <w:t>9、</w:t>
            </w:r>
            <w:r>
              <w:rPr>
                <w:rFonts w:hint="eastAsia" w:ascii="宋体" w:hAnsi="宋体" w:eastAsia="宋体" w:cs="宋体"/>
                <w:sz w:val="20"/>
                <w:szCs w:val="20"/>
                <w:lang w:val="en-US" w:eastAsia="zh-CN"/>
              </w:rPr>
              <w:t>节能环保</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1690</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1690</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1095.25</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1095.25</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16、金融支出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19、住房保障支出</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3043.72</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3063.54</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3063.54</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98.12</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78.31</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78.31</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98.12</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收入总计</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3141.85</w:t>
            </w:r>
          </w:p>
        </w:tc>
        <w:tc>
          <w:tcPr>
            <w:tcW w:w="1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支出总计</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3141.85</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3141.85</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21"/>
        <w:gridCol w:w="967"/>
        <w:gridCol w:w="850"/>
        <w:gridCol w:w="916"/>
        <w:gridCol w:w="839"/>
        <w:gridCol w:w="107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9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6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公用</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经费</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3063055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191.68</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191.68</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2785.25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169.73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lang w:val="en-US"/>
              </w:rPr>
            </w:pPr>
            <w:r>
              <w:rPr>
                <w:rFonts w:hint="eastAsia" w:ascii="宋体" w:hAnsi="宋体" w:eastAsia="宋体" w:cs="宋体"/>
                <w:i w:val="0"/>
                <w:color w:val="000000"/>
                <w:kern w:val="0"/>
                <w:sz w:val="20"/>
                <w:szCs w:val="20"/>
                <w:u w:val="none"/>
                <w:lang w:val="en-US" w:eastAsia="zh-CN" w:bidi="ar"/>
              </w:rPr>
              <w:t>169.73</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169.73</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商贸事务</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160.23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lang w:val="en-US"/>
              </w:rPr>
            </w:pPr>
            <w:r>
              <w:rPr>
                <w:rFonts w:hint="eastAsia" w:ascii="宋体" w:hAnsi="宋体" w:eastAsia="宋体" w:cs="宋体"/>
                <w:i w:val="0"/>
                <w:color w:val="000000"/>
                <w:kern w:val="0"/>
                <w:sz w:val="20"/>
                <w:szCs w:val="20"/>
                <w:u w:val="none"/>
                <w:lang w:val="en-US" w:eastAsia="zh-CN" w:bidi="ar"/>
              </w:rPr>
              <w:t>160.23</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160.23</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2011301</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行政运行</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160.23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160.23</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160.23</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2011308</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招商引资</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0.00</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2011399</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其他商贸事务支出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0.00</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20199</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其他一般公共服务支出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lang w:val="en-US"/>
              </w:rPr>
            </w:pPr>
            <w:r>
              <w:rPr>
                <w:rFonts w:hint="eastAsia" w:ascii="宋体" w:hAnsi="宋体" w:eastAsia="宋体" w:cs="宋体"/>
                <w:i w:val="0"/>
                <w:color w:val="000000"/>
                <w:kern w:val="0"/>
                <w:sz w:val="20"/>
                <w:szCs w:val="20"/>
                <w:u w:val="none"/>
                <w:lang w:val="en-US" w:eastAsia="zh-CN" w:bidi="ar"/>
              </w:rPr>
              <w:t>9.5</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2019999</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其他一般公共服务支出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lang w:val="en-US"/>
              </w:rPr>
            </w:pPr>
            <w:r>
              <w:rPr>
                <w:rFonts w:hint="eastAsia" w:ascii="宋体" w:hAnsi="宋体" w:eastAsia="宋体" w:cs="宋体"/>
                <w:i w:val="0"/>
                <w:color w:val="000000"/>
                <w:kern w:val="0"/>
                <w:sz w:val="20"/>
                <w:szCs w:val="20"/>
                <w:u w:val="none"/>
                <w:lang w:val="en-US" w:eastAsia="zh-CN" w:bidi="ar"/>
              </w:rPr>
              <w:t>9.5</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208</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lang w:val="en-US"/>
              </w:rPr>
            </w:pPr>
            <w:r>
              <w:rPr>
                <w:rFonts w:hint="eastAsia" w:ascii="宋体" w:hAnsi="宋体" w:eastAsia="宋体" w:cs="宋体"/>
                <w:i w:val="0"/>
                <w:color w:val="000000"/>
                <w:kern w:val="0"/>
                <w:sz w:val="20"/>
                <w:szCs w:val="20"/>
                <w:u w:val="none"/>
                <w:lang w:val="en-US" w:eastAsia="zh-CN" w:bidi="ar"/>
              </w:rPr>
              <w:t>21.95</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20805</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行政事业单位养老支出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21.95</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2080505</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21.95</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21.95</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211</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节能环保支出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21199</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其他节能环保支出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2119901</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其他节能环保支出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资源勘探工业信息等支出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1095.25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1095.25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21505</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工业和信息产业监管</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2150510</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工业和信息产业支持</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21508</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支持中小企业发展和管理支出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490.25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490.25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2150805</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中小企业发展专项</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461</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2150899</w:t>
            </w:r>
          </w:p>
        </w:tc>
        <w:tc>
          <w:tcPr>
            <w:tcW w:w="2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其他支持中小企业发展和管理支出</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29.25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Cs/>
                <w:sz w:val="20"/>
                <w:szCs w:val="20"/>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29.25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b/>
          <w:bCs/>
          <w:spacing w:val="-11"/>
          <w:sz w:val="20"/>
          <w:szCs w:val="20"/>
        </w:rPr>
      </w:pPr>
      <w:r>
        <w:rPr>
          <w:rFonts w:hint="eastAsia" w:ascii="方正小标宋简体" w:hAnsi="方正小标宋简体" w:eastAsia="方正小标宋简体" w:cs="方正小标宋简体"/>
          <w:spacing w:val="-11"/>
          <w:sz w:val="36"/>
          <w:szCs w:val="36"/>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开06表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626"/>
        <w:gridCol w:w="1013"/>
        <w:gridCol w:w="1257"/>
        <w:gridCol w:w="135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3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266.29</w:t>
            </w: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191.68</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74.61</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501</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机关工资福利支出</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191.68</w:t>
            </w: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191.68</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50101</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工资奖金津补贴</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160.23</w:t>
            </w: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160.23</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50102</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社会保障缴费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21.95</w:t>
            </w: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21.95</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50199</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sz w:val="20"/>
                <w:szCs w:val="20"/>
                <w:lang w:val="en-US" w:eastAsia="zh-CN"/>
              </w:rPr>
              <w:t>9.5</w:t>
            </w: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502</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机关商品和服务支出</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36.84</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50201</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办公经费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32.84</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50202</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会议费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50205</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委托业务费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50206</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公务接待费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50299</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其他商品和服务支出</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509</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对个人和家庭补助</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37.77</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lang w:val="en-US" w:eastAsia="zh-CN"/>
              </w:rPr>
              <w:t>抚恤金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50901</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社会福利和救助</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37.59</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抚恤金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50999</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其他对个人和家庭补助</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0.18</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会议费、培训费支出决算表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89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008"/>
        <w:gridCol w:w="1010"/>
        <w:gridCol w:w="1010"/>
        <w:gridCol w:w="1010"/>
        <w:gridCol w:w="1010"/>
        <w:gridCol w:w="1013"/>
        <w:gridCol w:w="101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606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0.9</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0.3</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0.6</w:t>
            </w: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81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36"/>
        <w:gridCol w:w="1065"/>
        <w:gridCol w:w="1129"/>
        <w:gridCol w:w="1129"/>
        <w:gridCol w:w="1129"/>
        <w:gridCol w:w="113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编制部门：</w:t>
      </w:r>
      <w:r>
        <w:rPr>
          <w:rFonts w:hint="eastAsia" w:ascii="宋体" w:hAnsi="宋体" w:eastAsia="宋体" w:cs="宋体"/>
          <w:b/>
          <w:bCs/>
          <w:sz w:val="20"/>
          <w:szCs w:val="20"/>
          <w:lang w:val="en-US" w:eastAsia="zh-CN"/>
        </w:rPr>
        <w:t>镇安县经济贸易局</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9"/>
        <w:tblW w:w="885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lang w:val="en-US" w:eastAsia="zh-CN"/>
              </w:rPr>
            </w:pPr>
            <w:r>
              <w:rPr>
                <w:rFonts w:hint="eastAsia" w:ascii="宋体" w:hAnsi="宋体" w:eastAsia="宋体" w:cs="宋体"/>
                <w:bCs/>
                <w:sz w:val="20"/>
                <w:szCs w:val="20"/>
                <w:lang w:val="en-US" w:eastAsia="zh-CN"/>
              </w:rPr>
              <w:t>0</w:t>
            </w: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shd w:val="clear" w:color="auto" w:fill="FFFFFF"/>
        <w:rPr>
          <w:rFonts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rPr>
        <w:t>2020年收入、支出总计</w:t>
      </w:r>
      <w:r>
        <w:rPr>
          <w:rFonts w:hint="eastAsia" w:ascii="仿宋_GB2312" w:hAnsi="仿宋_GB2312" w:cs="仿宋_GB2312"/>
          <w:sz w:val="32"/>
          <w:szCs w:val="32"/>
          <w:lang w:val="en-US" w:eastAsia="zh-CN"/>
        </w:rPr>
        <w:t>3141.85</w:t>
      </w:r>
      <w:r>
        <w:rPr>
          <w:rFonts w:hint="eastAsia" w:ascii="仿宋_GB2312" w:hAnsi="仿宋_GB2312" w:cs="仿宋_GB2312"/>
          <w:sz w:val="32"/>
          <w:szCs w:val="32"/>
        </w:rPr>
        <w:t>万元，与2019年相比，收入、支出总计各增加</w:t>
      </w:r>
      <w:r>
        <w:rPr>
          <w:rFonts w:hint="eastAsia" w:ascii="仿宋_GB2312" w:hAnsi="仿宋_GB2312" w:cs="仿宋_GB2312"/>
          <w:sz w:val="32"/>
          <w:szCs w:val="32"/>
          <w:lang w:val="en-US" w:eastAsia="zh-CN"/>
        </w:rPr>
        <w:t>1891.58</w:t>
      </w:r>
      <w:r>
        <w:rPr>
          <w:rFonts w:hint="eastAsia" w:ascii="仿宋_GB2312" w:hAnsi="仿宋_GB2312" w:cs="仿宋_GB2312"/>
          <w:sz w:val="32"/>
          <w:szCs w:val="32"/>
        </w:rPr>
        <w:t>万元，</w:t>
      </w:r>
      <w:r>
        <w:rPr>
          <w:rFonts w:hint="eastAsia" w:ascii="仿宋_GB2312" w:hAnsi="仿宋_GB2312" w:cs="仿宋_GB2312"/>
          <w:sz w:val="32"/>
          <w:szCs w:val="32"/>
          <w:lang w:val="en-US" w:eastAsia="zh-CN"/>
        </w:rPr>
        <w:t>增加151</w:t>
      </w:r>
      <w:r>
        <w:rPr>
          <w:rFonts w:hint="eastAsia" w:ascii="仿宋_GB2312" w:hAnsi="仿宋_GB2312" w:cs="仿宋_GB2312"/>
          <w:sz w:val="32"/>
          <w:szCs w:val="32"/>
        </w:rPr>
        <w:t>%，主要是：</w:t>
      </w:r>
      <w:r>
        <w:rPr>
          <w:rFonts w:hint="eastAsia" w:ascii="仿宋_GB2312" w:hAnsi="仿宋_GB2312" w:cs="仿宋_GB2312"/>
          <w:sz w:val="32"/>
          <w:szCs w:val="32"/>
          <w:lang w:val="en-US" w:eastAsia="zh-CN"/>
        </w:rPr>
        <w:t>项目资金增加，省市对企业发展扶持力度加大。特别是当年对节能环保预算了1690万元资金。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lang w:val="en-US" w:eastAsia="zh-CN"/>
        </w:rPr>
      </w:pPr>
      <w:r>
        <w:rPr>
          <w:rFonts w:hint="eastAsia" w:ascii="黑体" w:hAnsi="黑体" w:eastAsia="黑体" w:cs="黑体"/>
          <w:sz w:val="32"/>
          <w:szCs w:val="32"/>
          <w:lang w:eastAsia="zh-CN"/>
        </w:rPr>
        <w:drawing>
          <wp:inline distT="0" distB="0" distL="114935" distR="114935">
            <wp:extent cx="3184525" cy="3669665"/>
            <wp:effectExtent l="4445" t="5080" r="11430" b="209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2020年收入合计</w:t>
      </w:r>
      <w:r>
        <w:rPr>
          <w:rFonts w:hint="eastAsia" w:ascii="仿宋_GB2312" w:hAnsi="仿宋_GB2312" w:cs="仿宋_GB2312"/>
          <w:sz w:val="32"/>
          <w:szCs w:val="32"/>
          <w:lang w:val="en-US" w:eastAsia="zh-CN"/>
        </w:rPr>
        <w:t>3043.72</w:t>
      </w:r>
      <w:r>
        <w:rPr>
          <w:rFonts w:hint="eastAsia" w:ascii="仿宋_GB2312" w:hAnsi="仿宋_GB2312" w:cs="仿宋_GB2312"/>
          <w:sz w:val="32"/>
          <w:szCs w:val="32"/>
        </w:rPr>
        <w:t>元，其中：财政拨款收入</w:t>
      </w:r>
      <w:r>
        <w:rPr>
          <w:rFonts w:hint="eastAsia" w:ascii="仿宋_GB2312" w:hAnsi="仿宋_GB2312" w:cs="仿宋_GB2312"/>
          <w:sz w:val="32"/>
          <w:szCs w:val="32"/>
          <w:lang w:val="en-US" w:eastAsia="zh-CN"/>
        </w:rPr>
        <w:t>3043.72</w:t>
      </w:r>
      <w:r>
        <w:rPr>
          <w:rFonts w:hint="eastAsia" w:ascii="仿宋_GB2312" w:hAnsi="仿宋_GB2312" w:cs="仿宋_GB2312"/>
          <w:sz w:val="32"/>
          <w:szCs w:val="32"/>
        </w:rPr>
        <w:t>万元，占总收入</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%；事业收入</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万元，占总收入</w:t>
      </w:r>
      <w:r>
        <w:rPr>
          <w:rFonts w:hint="eastAsia" w:ascii="仿宋_GB2312" w:hAnsi="仿宋_GB2312" w:cs="仿宋_GB2312"/>
          <w:sz w:val="32"/>
          <w:szCs w:val="32"/>
          <w:lang w:val="en-US" w:eastAsia="zh-CN"/>
        </w:rPr>
        <w:t>0</w:t>
      </w:r>
      <w:r>
        <w:rPr>
          <w:rFonts w:hint="eastAsia" w:ascii="仿宋_GB2312" w:hAnsi="仿宋_GB2312" w:cs="仿宋_GB2312"/>
          <w:sz w:val="32"/>
          <w:szCs w:val="32"/>
        </w:rPr>
        <w:t>%；其他收入</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万元，占总收入</w:t>
      </w:r>
      <w:r>
        <w:rPr>
          <w:rFonts w:hint="eastAsia" w:ascii="仿宋_GB2312" w:hAnsi="仿宋_GB2312" w:cs="仿宋_GB2312"/>
          <w:sz w:val="32"/>
          <w:szCs w:val="32"/>
          <w:lang w:val="en-US" w:eastAsia="zh-CN"/>
        </w:rPr>
        <w:t>0</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val="en-US" w:eastAsia="zh-CN"/>
        </w:rPr>
        <w:t>2020年支出合</w:t>
      </w:r>
      <w:r>
        <w:rPr>
          <w:rFonts w:hint="eastAsia" w:ascii="仿宋_GB2312" w:hAnsi="仿宋_GB2312" w:cs="仿宋_GB2312"/>
          <w:sz w:val="32"/>
          <w:szCs w:val="32"/>
        </w:rPr>
        <w:t>计</w:t>
      </w:r>
      <w:r>
        <w:rPr>
          <w:rFonts w:hint="eastAsia" w:ascii="仿宋_GB2312" w:hAnsi="仿宋_GB2312" w:cs="仿宋_GB2312"/>
          <w:sz w:val="32"/>
          <w:szCs w:val="32"/>
          <w:lang w:val="en-US" w:eastAsia="zh-CN"/>
        </w:rPr>
        <w:t>3063.55</w:t>
      </w:r>
      <w:r>
        <w:rPr>
          <w:rFonts w:hint="eastAsia" w:ascii="仿宋_GB2312" w:hAnsi="仿宋_GB2312" w:cs="仿宋_GB2312"/>
          <w:sz w:val="32"/>
          <w:szCs w:val="32"/>
        </w:rPr>
        <w:t>万元，其中：基本支出</w:t>
      </w:r>
      <w:r>
        <w:rPr>
          <w:rFonts w:hint="eastAsia" w:ascii="仿宋_GB2312" w:hAnsi="仿宋_GB2312" w:cs="仿宋_GB2312"/>
          <w:sz w:val="32"/>
          <w:szCs w:val="32"/>
          <w:lang w:val="en-US" w:eastAsia="zh-CN"/>
        </w:rPr>
        <w:t>266.29</w:t>
      </w:r>
      <w:r>
        <w:rPr>
          <w:rFonts w:hint="eastAsia" w:ascii="仿宋_GB2312" w:hAnsi="仿宋_GB2312" w:cs="仿宋_GB2312"/>
          <w:sz w:val="32"/>
          <w:szCs w:val="32"/>
        </w:rPr>
        <w:t>万元，占总支出</w:t>
      </w:r>
      <w:r>
        <w:rPr>
          <w:rFonts w:hint="eastAsia" w:ascii="仿宋_GB2312" w:hAnsi="仿宋_GB2312" w:cs="仿宋_GB2312"/>
          <w:sz w:val="32"/>
          <w:szCs w:val="32"/>
          <w:lang w:val="en-US" w:eastAsia="zh-CN"/>
        </w:rPr>
        <w:t>8.7</w:t>
      </w:r>
      <w:r>
        <w:rPr>
          <w:rFonts w:hint="eastAsia" w:ascii="仿宋_GB2312" w:hAnsi="仿宋_GB2312" w:cs="仿宋_GB2312"/>
          <w:sz w:val="32"/>
          <w:szCs w:val="32"/>
        </w:rPr>
        <w:t>%；项目支出2797</w:t>
      </w:r>
      <w:r>
        <w:rPr>
          <w:rFonts w:hint="eastAsia" w:ascii="仿宋_GB2312" w:hAnsi="仿宋_GB2312" w:cs="仿宋_GB2312"/>
          <w:sz w:val="32"/>
          <w:szCs w:val="32"/>
          <w:lang w:val="en-US" w:eastAsia="zh-CN"/>
        </w:rPr>
        <w:t>.26</w:t>
      </w:r>
      <w:r>
        <w:rPr>
          <w:rFonts w:hint="eastAsia" w:ascii="仿宋_GB2312" w:hAnsi="仿宋_GB2312" w:cs="仿宋_GB2312"/>
          <w:sz w:val="32"/>
          <w:szCs w:val="32"/>
        </w:rPr>
        <w:t>万元，占总支出</w:t>
      </w:r>
      <w:r>
        <w:rPr>
          <w:rFonts w:hint="eastAsia" w:ascii="仿宋_GB2312" w:hAnsi="仿宋_GB2312" w:cs="仿宋_GB2312"/>
          <w:sz w:val="32"/>
          <w:szCs w:val="32"/>
          <w:lang w:val="en-US" w:eastAsia="zh-CN"/>
        </w:rPr>
        <w:t>91.3</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drawing>
          <wp:inline distT="0" distB="0" distL="114935" distR="114935">
            <wp:extent cx="3409315" cy="2149475"/>
            <wp:effectExtent l="5080" t="5080" r="14605" b="171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w:t>
      </w:r>
      <w:r>
        <w:rPr>
          <w:rFonts w:hint="eastAsia" w:ascii="仿宋_GB2312" w:hAnsi="仿宋_GB2312" w:cs="仿宋_GB2312"/>
          <w:sz w:val="32"/>
          <w:szCs w:val="32"/>
          <w:lang w:val="en-US" w:eastAsia="zh-CN"/>
        </w:rPr>
        <w:t>20年度财政拨款收入、支出</w:t>
      </w:r>
      <w:r>
        <w:rPr>
          <w:rFonts w:hint="eastAsia" w:ascii="仿宋_GB2312" w:hAnsi="仿宋_GB2312" w:cs="仿宋_GB2312"/>
          <w:sz w:val="32"/>
          <w:szCs w:val="32"/>
          <w:lang w:val="en-US" w:eastAsia="zh-CN"/>
        </w:rPr>
        <w:t>3141.85万元，与2019年相比，收入、支出总计各增加</w:t>
      </w:r>
      <w:r>
        <w:rPr>
          <w:rFonts w:hint="eastAsia" w:ascii="仿宋_GB2312" w:hAnsi="仿宋_GB2312" w:cs="仿宋_GB2312"/>
          <w:sz w:val="32"/>
          <w:szCs w:val="32"/>
          <w:lang w:val="en-US" w:eastAsia="zh-CN"/>
        </w:rPr>
        <w:t>1891.58万元，</w:t>
      </w:r>
      <w:r>
        <w:rPr>
          <w:rFonts w:hint="eastAsia" w:ascii="仿宋_GB2312" w:hAnsi="仿宋_GB2312" w:cs="仿宋_GB2312"/>
          <w:sz w:val="32"/>
          <w:szCs w:val="32"/>
          <w:lang w:val="en-US" w:eastAsia="zh-CN"/>
        </w:rPr>
        <w:t>增加151%，主要是：</w:t>
      </w:r>
      <w:r>
        <w:rPr>
          <w:rFonts w:hint="eastAsia" w:ascii="仿宋_GB2312" w:hAnsi="仿宋_GB2312" w:cs="仿宋_GB2312"/>
          <w:sz w:val="32"/>
          <w:szCs w:val="32"/>
          <w:lang w:val="en-US" w:eastAsia="zh-CN"/>
        </w:rPr>
        <w:t>项目资金增加，省市对企业发展扶持力度加大。特别是当年对节能环保预算了1690万元资金。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drawing>
          <wp:inline distT="0" distB="0" distL="114935" distR="114935">
            <wp:extent cx="4504690" cy="2985135"/>
            <wp:effectExtent l="4445" t="4445" r="5715" b="203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w:t>
      </w:r>
      <w:r>
        <w:rPr>
          <w:rFonts w:hint="eastAsia" w:ascii="仿宋_GB2312" w:hAnsi="仿宋_GB2312" w:cs="仿宋_GB2312"/>
          <w:sz w:val="32"/>
          <w:szCs w:val="32"/>
          <w:lang w:val="en-US" w:eastAsia="zh-CN"/>
        </w:rPr>
        <w:t>3063.55</w:t>
      </w:r>
      <w:r>
        <w:rPr>
          <w:rFonts w:hint="eastAsia" w:ascii="仿宋_GB2312" w:hAnsi="仿宋_GB2312" w:cs="仿宋_GB2312"/>
          <w:sz w:val="32"/>
          <w:szCs w:val="32"/>
        </w:rPr>
        <w:t>万元，占本年支出合计的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%。与2019年相比，财政拨款支出增加</w:t>
      </w:r>
      <w:r>
        <w:rPr>
          <w:rFonts w:hint="eastAsia" w:ascii="仿宋_GB2312" w:hAnsi="仿宋_GB2312" w:cs="仿宋_GB2312"/>
          <w:sz w:val="32"/>
          <w:szCs w:val="32"/>
          <w:lang w:val="en-US" w:eastAsia="zh-CN"/>
        </w:rPr>
        <w:t>1952.14</w:t>
      </w:r>
      <w:r>
        <w:rPr>
          <w:rFonts w:hint="eastAsia" w:ascii="仿宋_GB2312" w:hAnsi="仿宋_GB2312" w:cs="仿宋_GB2312"/>
          <w:sz w:val="32"/>
          <w:szCs w:val="32"/>
        </w:rPr>
        <w:t>万元，</w:t>
      </w:r>
      <w:r>
        <w:rPr>
          <w:rFonts w:hint="eastAsia" w:ascii="仿宋_GB2312" w:hAnsi="仿宋_GB2312" w:cs="仿宋_GB2312"/>
          <w:sz w:val="32"/>
          <w:szCs w:val="32"/>
          <w:lang w:val="en-US" w:eastAsia="zh-CN"/>
        </w:rPr>
        <w:t>增加165.9</w:t>
      </w:r>
      <w:r>
        <w:rPr>
          <w:rFonts w:hint="eastAsia" w:ascii="仿宋_GB2312" w:hAnsi="仿宋_GB2312" w:cs="仿宋_GB2312"/>
          <w:sz w:val="32"/>
          <w:szCs w:val="32"/>
        </w:rPr>
        <w:t>%，</w:t>
      </w:r>
      <w:r>
        <w:rPr>
          <w:rFonts w:hint="eastAsia" w:ascii="仿宋_GB2312" w:hAnsi="仿宋_GB2312" w:cs="仿宋_GB2312"/>
          <w:sz w:val="32"/>
          <w:szCs w:val="32"/>
          <w:lang w:val="en-US" w:eastAsia="zh-CN"/>
        </w:rPr>
        <w:t>项目资金增加，省市对企业发展扶持力度加大。特别是当年对节能环保预算了1690万元资金。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2020年财政拨款支出年初预算为</w:t>
      </w:r>
      <w:r>
        <w:rPr>
          <w:rFonts w:hint="eastAsia" w:ascii="仿宋_GB2312" w:hAnsi="仿宋_GB2312" w:cs="仿宋_GB2312"/>
          <w:sz w:val="32"/>
          <w:szCs w:val="32"/>
          <w:lang w:val="en-US" w:eastAsia="zh-CN"/>
        </w:rPr>
        <w:t>336.14</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3141.85</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3063.55</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97.5</w:t>
      </w:r>
      <w:r>
        <w:rPr>
          <w:rFonts w:hint="eastAsia" w:ascii="仿宋_GB2312" w:hAnsi="仿宋_GB2312" w:cs="仿宋_GB2312"/>
          <w:sz w:val="32"/>
          <w:szCs w:val="32"/>
        </w:rPr>
        <w:t>%。按照政府功能分类科目分，其中：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w:t>
      </w:r>
      <w:r>
        <w:rPr>
          <w:rFonts w:hint="eastAsia" w:ascii="仿宋_GB2312" w:hAnsi="仿宋_GB2312" w:cs="仿宋_GB2312"/>
          <w:sz w:val="32"/>
          <w:szCs w:val="32"/>
          <w:lang w:val="en-US" w:eastAsia="zh-CN"/>
        </w:rPr>
        <w:t>336.14</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321.65</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256.34</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79.69</w:t>
      </w:r>
      <w:r>
        <w:rPr>
          <w:rFonts w:hint="eastAsia" w:ascii="仿宋_GB2312" w:hAnsi="仿宋_GB2312" w:cs="仿宋_GB2312"/>
          <w:sz w:val="32"/>
          <w:szCs w:val="32"/>
        </w:rPr>
        <w:t>%。决算数小于预算数的主要原因是：</w:t>
      </w:r>
      <w:r>
        <w:rPr>
          <w:rFonts w:hint="eastAsia" w:ascii="仿宋_GB2312" w:hAnsi="仿宋_GB2312" w:cs="仿宋_GB2312"/>
          <w:sz w:val="32"/>
          <w:szCs w:val="32"/>
          <w:lang w:val="en-US" w:eastAsia="zh-CN"/>
        </w:rPr>
        <w:t>有职工退休，并且</w:t>
      </w:r>
      <w:r>
        <w:rPr>
          <w:rFonts w:hint="eastAsia" w:ascii="仿宋_GB2312" w:hAnsi="仿宋_GB2312" w:cs="仿宋_GB2312"/>
          <w:sz w:val="32"/>
          <w:szCs w:val="32"/>
        </w:rPr>
        <w:t>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w:t>
      </w:r>
      <w:r>
        <w:rPr>
          <w:rFonts w:hint="eastAsia" w:ascii="仿宋_GB2312" w:hAnsi="仿宋_GB2312" w:cs="仿宋_GB2312"/>
          <w:sz w:val="32"/>
          <w:szCs w:val="32"/>
          <w:lang w:val="en-US" w:eastAsia="zh-CN"/>
        </w:rPr>
        <w:t>社会保障和就业支出</w:t>
      </w:r>
      <w:r>
        <w:rPr>
          <w:rFonts w:hint="eastAsia" w:ascii="仿宋_GB2312" w:hAnsi="仿宋_GB2312" w:cs="仿宋_GB2312"/>
          <w:sz w:val="32"/>
          <w:szCs w:val="32"/>
        </w:rPr>
        <w:t>（类）行政事业单位养老支出机关事业单位基本养老保险缴费支出。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t>年初预算为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21.95</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21.95</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3.节能环保支出</w:t>
      </w:r>
      <w:r>
        <w:rPr>
          <w:rFonts w:hint="eastAsia" w:ascii="仿宋_GB2312" w:hAnsi="仿宋_GB2312" w:cs="仿宋_GB2312"/>
          <w:sz w:val="32"/>
          <w:szCs w:val="32"/>
        </w:rPr>
        <w:t>（类）</w:t>
      </w:r>
      <w:r>
        <w:rPr>
          <w:rFonts w:hint="eastAsia" w:ascii="仿宋_GB2312" w:hAnsi="仿宋_GB2312" w:cs="仿宋_GB2312"/>
          <w:sz w:val="32"/>
          <w:szCs w:val="32"/>
          <w:lang w:val="en-US" w:eastAsia="zh-CN"/>
        </w:rPr>
        <w:t>其他节能环保支出</w:t>
      </w:r>
      <w:r>
        <w:rPr>
          <w:rFonts w:hint="eastAsia" w:ascii="仿宋_GB2312" w:hAnsi="仿宋_GB2312" w:cs="仿宋_GB2312"/>
          <w:sz w:val="32"/>
          <w:szCs w:val="32"/>
        </w:rPr>
        <w:t>（款）</w:t>
      </w:r>
      <w:r>
        <w:rPr>
          <w:rFonts w:hint="eastAsia" w:ascii="仿宋_GB2312" w:hAnsi="仿宋_GB2312" w:cs="仿宋_GB2312"/>
          <w:sz w:val="32"/>
          <w:szCs w:val="32"/>
          <w:lang w:val="en-US" w:eastAsia="zh-CN"/>
        </w:rPr>
        <w:t>其他节能环保支出</w:t>
      </w:r>
      <w:r>
        <w:rPr>
          <w:rFonts w:hint="eastAsia" w:ascii="仿宋_GB2312" w:hAnsi="仿宋_GB2312" w:cs="仿宋_GB2312"/>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t>年初预算为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1690</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1690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w:t>
      </w:r>
      <w:r>
        <w:rPr>
          <w:rFonts w:hint="eastAsia" w:ascii="仿宋_GB2312" w:hAnsi="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val="en-US" w:eastAsia="zh-CN"/>
        </w:rPr>
        <w:t>4.资源勘探工业信息等支出</w:t>
      </w:r>
      <w:r>
        <w:rPr>
          <w:rFonts w:hint="eastAsia" w:ascii="仿宋_GB2312" w:hAnsi="仿宋_GB2312" w:cs="仿宋_GB2312"/>
          <w:sz w:val="32"/>
          <w:szCs w:val="32"/>
        </w:rPr>
        <w:t>（类）工业和信息产业监管（款）工业和信息产业支持（项）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年初预算为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26</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26</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w:t>
      </w:r>
      <w:r>
        <w:rPr>
          <w:rFonts w:hint="eastAsia" w:ascii="仿宋_GB2312" w:hAnsi="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val="en-US" w:eastAsia="zh-CN"/>
        </w:rPr>
        <w:t>5.支持中小企业发展和管理支出</w:t>
      </w:r>
      <w:r>
        <w:rPr>
          <w:rFonts w:hint="eastAsia" w:ascii="仿宋_GB2312" w:hAnsi="仿宋_GB2312" w:cs="仿宋_GB2312"/>
          <w:sz w:val="32"/>
          <w:szCs w:val="32"/>
        </w:rPr>
        <w:t>（类） 中小企业发展专项（款）其他支持中小企业发展和管理支出（项）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年初预算为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万元，调整预算为</w:t>
      </w:r>
      <w:r>
        <w:rPr>
          <w:rFonts w:hint="eastAsia" w:ascii="仿宋_GB2312" w:hAnsi="仿宋_GB2312" w:cs="仿宋_GB2312"/>
          <w:sz w:val="32"/>
          <w:szCs w:val="32"/>
          <w:lang w:val="en-US" w:eastAsia="zh-CN"/>
        </w:rPr>
        <w:t>53.25</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53.25</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2020年一般公共预算财政拨款基本支出</w:t>
      </w:r>
      <w:r>
        <w:rPr>
          <w:rFonts w:hint="eastAsia" w:ascii="仿宋_GB2312" w:hAnsi="仿宋_GB2312" w:cs="仿宋_GB2312"/>
          <w:sz w:val="32"/>
          <w:szCs w:val="32"/>
          <w:lang w:val="en-US" w:eastAsia="zh-CN"/>
        </w:rPr>
        <w:t>266.29万</w:t>
      </w:r>
      <w:r>
        <w:rPr>
          <w:rFonts w:hint="eastAsia" w:ascii="仿宋_GB2312" w:hAnsi="仿宋_GB2312" w:cs="仿宋_GB2312"/>
          <w:sz w:val="32"/>
          <w:szCs w:val="32"/>
        </w:rPr>
        <w:t>元，包括：人员经费支出</w:t>
      </w:r>
      <w:r>
        <w:rPr>
          <w:rFonts w:hint="eastAsia" w:ascii="仿宋_GB2312" w:hAnsi="仿宋_GB2312" w:cs="仿宋_GB2312"/>
          <w:sz w:val="32"/>
          <w:szCs w:val="32"/>
          <w:lang w:val="en-US" w:eastAsia="zh-CN"/>
        </w:rPr>
        <w:t>169.73</w:t>
      </w:r>
      <w:r>
        <w:rPr>
          <w:rFonts w:hint="eastAsia" w:ascii="仿宋_GB2312" w:hAnsi="仿宋_GB2312" w:cs="仿宋_GB2312"/>
          <w:sz w:val="32"/>
          <w:szCs w:val="32"/>
        </w:rPr>
        <w:t>万元和公用经费支出</w:t>
      </w:r>
      <w:r>
        <w:rPr>
          <w:rFonts w:hint="eastAsia" w:ascii="仿宋_GB2312" w:hAnsi="仿宋_GB2312" w:cs="仿宋_GB2312"/>
          <w:sz w:val="32"/>
          <w:szCs w:val="32"/>
          <w:lang w:val="en-US" w:eastAsia="zh-CN"/>
        </w:rPr>
        <w:t>36.84</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b/>
          <w:bCs/>
          <w:sz w:val="32"/>
          <w:szCs w:val="32"/>
        </w:rPr>
        <w:t>人员经费支出</w:t>
      </w:r>
      <w:r>
        <w:rPr>
          <w:rFonts w:hint="eastAsia" w:ascii="仿宋_GB2312" w:hAnsi="仿宋_GB2312" w:cs="仿宋_GB2312"/>
          <w:sz w:val="32"/>
          <w:szCs w:val="32"/>
          <w:lang w:val="en-US" w:eastAsia="zh-CN"/>
        </w:rPr>
        <w:t>169.73</w:t>
      </w:r>
      <w:r>
        <w:rPr>
          <w:rFonts w:hint="eastAsia" w:ascii="仿宋_GB2312" w:hAnsi="仿宋_GB2312" w:cs="仿宋_GB2312"/>
          <w:sz w:val="32"/>
          <w:szCs w:val="32"/>
        </w:rPr>
        <w:t>万元，主要包括基本工资</w:t>
      </w:r>
      <w:r>
        <w:rPr>
          <w:rFonts w:hint="eastAsia" w:ascii="仿宋_GB2312" w:hAnsi="仿宋_GB2312" w:cs="仿宋_GB2312"/>
          <w:sz w:val="32"/>
          <w:szCs w:val="32"/>
          <w:lang w:val="en-US" w:eastAsia="zh-CN"/>
        </w:rPr>
        <w:t>69.66</w:t>
      </w:r>
      <w:r>
        <w:rPr>
          <w:rFonts w:hint="eastAsia" w:ascii="仿宋_GB2312" w:hAnsi="仿宋_GB2312" w:cs="仿宋_GB2312"/>
          <w:sz w:val="32"/>
          <w:szCs w:val="32"/>
        </w:rPr>
        <w:t>万元、津贴补贴</w:t>
      </w:r>
      <w:r>
        <w:rPr>
          <w:rFonts w:hint="eastAsia" w:ascii="仿宋_GB2312" w:hAnsi="仿宋_GB2312" w:cs="仿宋_GB2312"/>
          <w:sz w:val="32"/>
          <w:szCs w:val="32"/>
          <w:lang w:val="en-US" w:eastAsia="zh-CN"/>
        </w:rPr>
        <w:t>48.34</w:t>
      </w:r>
      <w:r>
        <w:rPr>
          <w:rFonts w:hint="eastAsia" w:ascii="仿宋_GB2312" w:hAnsi="仿宋_GB2312" w:cs="仿宋_GB2312"/>
          <w:sz w:val="32"/>
          <w:szCs w:val="32"/>
        </w:rPr>
        <w:t>万元、奖金</w:t>
      </w:r>
      <w:r>
        <w:rPr>
          <w:rFonts w:hint="eastAsia" w:ascii="仿宋_GB2312" w:hAnsi="仿宋_GB2312" w:cs="仿宋_GB2312"/>
          <w:sz w:val="32"/>
          <w:szCs w:val="32"/>
          <w:lang w:val="en-US" w:eastAsia="zh-CN"/>
        </w:rPr>
        <w:t>42.23</w:t>
      </w:r>
      <w:r>
        <w:rPr>
          <w:rFonts w:hint="eastAsia" w:ascii="仿宋_GB2312" w:hAnsi="仿宋_GB2312" w:cs="仿宋_GB2312"/>
          <w:sz w:val="32"/>
          <w:szCs w:val="32"/>
        </w:rPr>
        <w:t>万元、机关事业单位基本保险养老缴费</w:t>
      </w:r>
      <w:r>
        <w:rPr>
          <w:rFonts w:hint="eastAsia" w:ascii="仿宋_GB2312" w:hAnsi="仿宋_GB2312" w:cs="仿宋_GB2312"/>
          <w:sz w:val="32"/>
          <w:szCs w:val="32"/>
          <w:lang w:val="en-US" w:eastAsia="zh-CN"/>
        </w:rPr>
        <w:t>21.95</w:t>
      </w:r>
      <w:r>
        <w:rPr>
          <w:rFonts w:hint="eastAsia" w:ascii="仿宋_GB2312" w:hAnsi="仿宋_GB2312" w:cs="仿宋_GB2312"/>
          <w:sz w:val="32"/>
          <w:szCs w:val="32"/>
        </w:rPr>
        <w:t>万元、</w:t>
      </w:r>
      <w:r>
        <w:rPr>
          <w:rFonts w:hint="eastAsia" w:ascii="仿宋_GB2312" w:hAnsi="仿宋_GB2312" w:cs="仿宋_GB2312"/>
          <w:sz w:val="32"/>
          <w:szCs w:val="32"/>
          <w:lang w:val="en-US" w:eastAsia="zh-CN"/>
        </w:rPr>
        <w:t>其他工资支出9.5</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rPr>
        <w:t>公用经费支出</w:t>
      </w:r>
      <w:r>
        <w:rPr>
          <w:rFonts w:hint="eastAsia" w:ascii="仿宋_GB2312" w:hAnsi="仿宋_GB2312" w:cs="仿宋_GB2312"/>
          <w:sz w:val="32"/>
          <w:szCs w:val="32"/>
          <w:lang w:val="en-US" w:eastAsia="zh-CN"/>
        </w:rPr>
        <w:t>36.84</w:t>
      </w:r>
      <w:r>
        <w:rPr>
          <w:rFonts w:hint="eastAsia" w:ascii="仿宋_GB2312" w:hAnsi="仿宋_GB2312" w:cs="仿宋_GB2312"/>
          <w:sz w:val="32"/>
          <w:szCs w:val="32"/>
        </w:rPr>
        <w:t>万元，主要包括办公费</w:t>
      </w:r>
      <w:r>
        <w:rPr>
          <w:rFonts w:hint="eastAsia" w:ascii="仿宋_GB2312" w:hAnsi="仿宋_GB2312" w:cs="仿宋_GB2312"/>
          <w:sz w:val="32"/>
          <w:szCs w:val="32"/>
          <w:lang w:val="en-US" w:eastAsia="zh-CN"/>
        </w:rPr>
        <w:t>13.01</w:t>
      </w:r>
      <w:r>
        <w:rPr>
          <w:rFonts w:hint="eastAsia" w:ascii="仿宋_GB2312" w:hAnsi="仿宋_GB2312" w:cs="仿宋_GB2312"/>
          <w:sz w:val="32"/>
          <w:szCs w:val="32"/>
        </w:rPr>
        <w:t>万元、印刷费</w:t>
      </w:r>
      <w:r>
        <w:rPr>
          <w:rFonts w:hint="eastAsia" w:ascii="仿宋_GB2312" w:hAnsi="仿宋_GB2312" w:cs="仿宋_GB2312"/>
          <w:sz w:val="32"/>
          <w:szCs w:val="32"/>
          <w:lang w:val="en-US" w:eastAsia="zh-CN"/>
        </w:rPr>
        <w:t>3.88</w:t>
      </w:r>
      <w:r>
        <w:rPr>
          <w:rFonts w:hint="eastAsia" w:ascii="仿宋_GB2312" w:hAnsi="仿宋_GB2312" w:cs="仿宋_GB2312"/>
          <w:sz w:val="32"/>
          <w:szCs w:val="32"/>
        </w:rPr>
        <w:t>万元、</w:t>
      </w:r>
      <w:r>
        <w:rPr>
          <w:rFonts w:hint="eastAsia" w:ascii="仿宋_GB2312" w:hAnsi="仿宋_GB2312" w:cs="仿宋_GB2312"/>
          <w:sz w:val="32"/>
          <w:szCs w:val="32"/>
          <w:lang w:val="en-US" w:eastAsia="zh-CN"/>
        </w:rPr>
        <w:t>咨询费4万元、电费2.5万元、邮电费1.5万元、其他交通费11.96万元。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cs="仿宋_GB2312"/>
          <w:b w:val="0"/>
          <w:bCs w:val="0"/>
          <w:sz w:val="32"/>
          <w:szCs w:val="32"/>
          <w:lang w:val="en-US" w:eastAsia="zh-CN"/>
        </w:rPr>
      </w:pPr>
      <w:r>
        <w:rPr>
          <w:rFonts w:hint="eastAsia" w:ascii="仿宋_GB2312" w:hAnsi="仿宋_GB2312" w:cs="仿宋_GB2312"/>
          <w:b/>
          <w:bCs/>
          <w:sz w:val="32"/>
          <w:szCs w:val="32"/>
          <w:lang w:val="en-US" w:eastAsia="zh-CN"/>
        </w:rPr>
        <w:t>对个人和家庭的补助</w:t>
      </w:r>
      <w:r>
        <w:rPr>
          <w:rFonts w:hint="eastAsia" w:ascii="仿宋_GB2312" w:hAnsi="仿宋_GB2312" w:cs="仿宋_GB2312"/>
          <w:b w:val="0"/>
          <w:bCs w:val="0"/>
          <w:sz w:val="32"/>
          <w:szCs w:val="32"/>
          <w:lang w:val="en-US" w:eastAsia="zh-CN"/>
        </w:rPr>
        <w:t>37.77万元，主要包括抚恤金37.59万元，其他对个人和家庭的补助0.18万元。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2020年“三公”经费财政拨款支出预算为</w:t>
      </w:r>
      <w:r>
        <w:rPr>
          <w:rFonts w:hint="eastAsia" w:ascii="仿宋_GB2312" w:hAnsi="仿宋_GB2312" w:cs="仿宋_GB2312"/>
          <w:sz w:val="32"/>
          <w:szCs w:val="32"/>
          <w:lang w:val="en-US" w:eastAsia="zh-CN"/>
        </w:rPr>
        <w:t>0.3</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万元。主要原因是</w:t>
      </w:r>
      <w:r>
        <w:rPr>
          <w:rFonts w:hint="eastAsia" w:ascii="仿宋_GB2312" w:hAnsi="仿宋_GB2312" w:cs="仿宋_GB2312"/>
          <w:sz w:val="32"/>
          <w:szCs w:val="32"/>
          <w:lang w:val="en-US" w:eastAsia="zh-CN"/>
        </w:rPr>
        <w:t>严格控制公务接待。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2020年“三公”经费财政拨款支出决算中，因公出国（境）费支出决算</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万元，占“三公”经费总支出</w:t>
      </w:r>
      <w:r>
        <w:rPr>
          <w:rFonts w:hint="eastAsia" w:ascii="仿宋_GB2312" w:hAnsi="仿宋_GB2312" w:cs="仿宋_GB2312"/>
          <w:sz w:val="32"/>
          <w:szCs w:val="32"/>
          <w:lang w:val="en-US" w:eastAsia="zh-CN"/>
        </w:rPr>
        <w:t>0</w:t>
      </w:r>
      <w:r>
        <w:rPr>
          <w:rFonts w:hint="eastAsia" w:ascii="仿宋_GB2312" w:hAnsi="仿宋_GB2312" w:cs="仿宋_GB2312"/>
          <w:sz w:val="32"/>
          <w:szCs w:val="32"/>
        </w:rPr>
        <w:t>%；公务用车购置费支出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万元，占“三公”经费总支出</w:t>
      </w:r>
      <w:r>
        <w:rPr>
          <w:rFonts w:hint="eastAsia" w:ascii="仿宋_GB2312" w:hAnsi="仿宋_GB2312" w:cs="仿宋_GB2312"/>
          <w:sz w:val="32"/>
          <w:szCs w:val="32"/>
          <w:lang w:val="en-US" w:eastAsia="zh-CN"/>
        </w:rPr>
        <w:t>0</w:t>
      </w:r>
      <w:r>
        <w:rPr>
          <w:rFonts w:hint="eastAsia" w:ascii="仿宋_GB2312" w:hAnsi="仿宋_GB2312" w:cs="仿宋_GB2312"/>
          <w:sz w:val="32"/>
          <w:szCs w:val="32"/>
        </w:rPr>
        <w:t>%；公务用车运行维护费支出决算</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万元，占“三公”经费总支出</w:t>
      </w:r>
      <w:r>
        <w:rPr>
          <w:rFonts w:hint="eastAsia" w:ascii="仿宋_GB2312" w:hAnsi="仿宋_GB2312" w:cs="仿宋_GB2312"/>
          <w:sz w:val="32"/>
          <w:szCs w:val="32"/>
          <w:lang w:val="en-US" w:eastAsia="zh-CN"/>
        </w:rPr>
        <w:t>0</w:t>
      </w:r>
      <w:r>
        <w:rPr>
          <w:rFonts w:hint="eastAsia" w:ascii="仿宋_GB2312" w:hAnsi="仿宋_GB2312" w:cs="仿宋_GB2312"/>
          <w:sz w:val="32"/>
          <w:szCs w:val="32"/>
        </w:rPr>
        <w:t>%；公务接待费支出决算</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万元，占“三公”经费总支出</w:t>
      </w:r>
      <w:r>
        <w:rPr>
          <w:rFonts w:hint="eastAsia" w:ascii="仿宋_GB2312" w:hAnsi="仿宋_GB2312" w:cs="仿宋_GB2312"/>
          <w:sz w:val="32"/>
          <w:szCs w:val="32"/>
          <w:lang w:val="en-US" w:eastAsia="zh-CN"/>
        </w:rPr>
        <w:t>0</w:t>
      </w:r>
      <w:r>
        <w:rPr>
          <w:rFonts w:hint="eastAsia" w:ascii="仿宋_GB2312" w:hAnsi="仿宋_GB2312" w:cs="仿宋_GB2312"/>
          <w:sz w:val="32"/>
          <w:szCs w:val="32"/>
        </w:rPr>
        <w:t xml:space="preserve">%。具体情况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rPr>
        <w:t>2020年因公出国（境）团组</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个，</w:t>
      </w:r>
      <w:r>
        <w:rPr>
          <w:rFonts w:hint="eastAsia" w:ascii="仿宋_GB2312" w:hAnsi="仿宋_GB2312" w:cs="仿宋_GB2312"/>
          <w:sz w:val="32"/>
          <w:szCs w:val="32"/>
          <w:lang w:val="en-US" w:eastAsia="zh-CN"/>
        </w:rPr>
        <w:t>0</w:t>
      </w:r>
      <w:r>
        <w:rPr>
          <w:rFonts w:hint="eastAsia" w:ascii="仿宋_GB2312" w:hAnsi="仿宋_GB2312" w:cs="仿宋_GB2312"/>
          <w:sz w:val="32"/>
          <w:szCs w:val="32"/>
        </w:rPr>
        <w:t>人次，预算为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%，决算数较预算数减少</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2020年购置车辆</w:t>
      </w:r>
      <w:r>
        <w:rPr>
          <w:rFonts w:hint="eastAsia" w:ascii="仿宋_GB2312" w:hAnsi="仿宋_GB2312" w:cs="仿宋_GB2312"/>
          <w:sz w:val="32"/>
          <w:szCs w:val="32"/>
          <w:lang w:val="en-US" w:eastAsia="zh-CN"/>
        </w:rPr>
        <w:t>0</w:t>
      </w:r>
      <w:r>
        <w:rPr>
          <w:rFonts w:hint="eastAsia" w:ascii="仿宋_GB2312" w:hAnsi="仿宋_GB2312" w:cs="仿宋_GB2312"/>
          <w:sz w:val="32"/>
          <w:szCs w:val="32"/>
        </w:rPr>
        <w:t>台，预算为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2020年公务用车运行维护费预算为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2020年公务接待</w:t>
      </w:r>
      <w:r>
        <w:rPr>
          <w:rFonts w:hint="eastAsia" w:ascii="仿宋_GB2312" w:hAnsi="仿宋_GB2312" w:cs="仿宋_GB2312"/>
          <w:sz w:val="32"/>
          <w:szCs w:val="32"/>
          <w:lang w:val="en-US" w:eastAsia="zh-CN"/>
        </w:rPr>
        <w:t>0</w:t>
      </w:r>
      <w:r>
        <w:rPr>
          <w:rFonts w:hint="eastAsia" w:ascii="仿宋_GB2312" w:hAnsi="仿宋_GB2312" w:cs="仿宋_GB2312"/>
          <w:sz w:val="32"/>
          <w:szCs w:val="32"/>
        </w:rPr>
        <w:t>批次，</w:t>
      </w:r>
      <w:r>
        <w:rPr>
          <w:rFonts w:hint="eastAsia" w:ascii="仿宋_GB2312" w:hAnsi="仿宋_GB2312" w:cs="仿宋_GB2312"/>
          <w:sz w:val="32"/>
          <w:szCs w:val="32"/>
          <w:lang w:val="en-US" w:eastAsia="zh-CN"/>
        </w:rPr>
        <w:t>0</w:t>
      </w:r>
      <w:r>
        <w:rPr>
          <w:rFonts w:hint="eastAsia" w:ascii="仿宋_GB2312" w:hAnsi="仿宋_GB2312" w:cs="仿宋_GB2312"/>
          <w:sz w:val="32"/>
          <w:szCs w:val="32"/>
        </w:rPr>
        <w:t>人次，预算为</w:t>
      </w:r>
      <w:r>
        <w:rPr>
          <w:rFonts w:hint="eastAsia" w:ascii="仿宋_GB2312" w:hAnsi="仿宋_GB2312" w:cs="仿宋_GB2312"/>
          <w:sz w:val="32"/>
          <w:szCs w:val="32"/>
          <w:lang w:val="en-US" w:eastAsia="zh-CN"/>
        </w:rPr>
        <w:t>0.3</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严控公务接待费用。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2020年培训费预算为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%，决算数较预算数增加</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万元，主要原因是</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2020年会议费预算为</w:t>
      </w:r>
      <w:r>
        <w:rPr>
          <w:rFonts w:hint="eastAsia" w:ascii="仿宋_GB2312" w:hAnsi="仿宋_GB2312" w:cs="仿宋_GB2312"/>
          <w:sz w:val="32"/>
          <w:szCs w:val="32"/>
          <w:lang w:val="en-US" w:eastAsia="zh-CN"/>
        </w:rPr>
        <w:t>0.6</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%，主要原因是</w:t>
      </w:r>
      <w:r>
        <w:rPr>
          <w:rFonts w:hint="eastAsia" w:ascii="仿宋_GB2312" w:hAnsi="仿宋_GB2312" w:cs="仿宋_GB2312"/>
          <w:sz w:val="32"/>
          <w:szCs w:val="32"/>
          <w:lang w:val="en-US" w:eastAsia="zh-CN"/>
        </w:rPr>
        <w:t>压缩会议，开会不花钱。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本部门无政府性基金决算收支，并已公开空表</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根据预算绩效管理要求，本部门组织对2020年一般公共预算项目支出全面开展绩效自评，其中，一级项目</w:t>
      </w:r>
      <w:r>
        <w:rPr>
          <w:rFonts w:hint="eastAsia" w:ascii="仿宋_GB2312" w:hAnsi="仿宋_GB2312" w:cs="仿宋_GB2312"/>
          <w:sz w:val="32"/>
          <w:szCs w:val="32"/>
          <w:lang w:val="en-US" w:eastAsia="zh-CN"/>
        </w:rPr>
        <w:t>0</w:t>
      </w:r>
      <w:r>
        <w:rPr>
          <w:rFonts w:hint="eastAsia" w:ascii="仿宋_GB2312" w:hAnsi="仿宋_GB2312" w:cs="仿宋_GB2312"/>
          <w:sz w:val="32"/>
          <w:szCs w:val="32"/>
        </w:rPr>
        <w:t>个，二级项目</w:t>
      </w:r>
      <w:r>
        <w:rPr>
          <w:rFonts w:hint="eastAsia" w:ascii="仿宋_GB2312" w:hAnsi="仿宋_GB2312" w:cs="仿宋_GB2312"/>
          <w:sz w:val="32"/>
          <w:szCs w:val="32"/>
          <w:lang w:val="en-US" w:eastAsia="zh-CN"/>
        </w:rPr>
        <w:t>3</w:t>
      </w:r>
      <w:r>
        <w:rPr>
          <w:rFonts w:hint="eastAsia" w:ascii="仿宋_GB2312" w:hAnsi="仿宋_GB2312" w:cs="仿宋_GB2312"/>
          <w:sz w:val="32"/>
          <w:szCs w:val="32"/>
        </w:rPr>
        <w:t>个，共涉及资金</w:t>
      </w:r>
      <w:r>
        <w:rPr>
          <w:rFonts w:hint="eastAsia" w:ascii="仿宋_GB2312" w:hAnsi="仿宋_GB2312" w:cs="仿宋_GB2312"/>
          <w:sz w:val="32"/>
          <w:szCs w:val="32"/>
          <w:lang w:val="en-US" w:eastAsia="zh-CN"/>
        </w:rPr>
        <w:t>7</w:t>
      </w:r>
      <w:r>
        <w:rPr>
          <w:rFonts w:hint="eastAsia" w:ascii="仿宋_GB2312" w:hAnsi="仿宋_GB2312" w:cs="仿宋_GB2312"/>
          <w:sz w:val="32"/>
          <w:szCs w:val="32"/>
        </w:rPr>
        <w:t>万元，占一般公共预算项目支出总额的</w:t>
      </w:r>
      <w:r>
        <w:rPr>
          <w:rFonts w:hint="eastAsia" w:ascii="仿宋_GB2312" w:hAnsi="仿宋_GB2312" w:cs="仿宋_GB2312"/>
          <w:sz w:val="32"/>
          <w:szCs w:val="32"/>
          <w:lang w:val="en-US" w:eastAsia="zh-CN"/>
        </w:rPr>
        <w:t>0.25</w:t>
      </w:r>
      <w:r>
        <w:rPr>
          <w:rFonts w:hint="eastAsia" w:ascii="仿宋_GB2312" w:hAnsi="仿宋_GB2312" w:cs="仿宋_GB2312"/>
          <w:sz w:val="32"/>
          <w:szCs w:val="32"/>
        </w:rPr>
        <w:t>%。（本年度无政府性基金预算项目）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我局在20</w:t>
      </w:r>
      <w:r>
        <w:rPr>
          <w:rFonts w:hint="eastAsia" w:ascii="仿宋_GB2312" w:hAnsi="仿宋_GB2312" w:cs="仿宋_GB2312"/>
          <w:sz w:val="32"/>
          <w:szCs w:val="32"/>
          <w:lang w:val="en-US" w:eastAsia="zh-CN"/>
        </w:rPr>
        <w:t>20</w:t>
      </w:r>
      <w:r>
        <w:rPr>
          <w:rFonts w:hint="eastAsia" w:ascii="仿宋_GB2312" w:hAnsi="仿宋_GB2312" w:cs="仿宋_GB2312"/>
          <w:sz w:val="32"/>
          <w:szCs w:val="32"/>
        </w:rPr>
        <w:t>年度部门决算中反映的</w:t>
      </w:r>
      <w:r>
        <w:rPr>
          <w:rFonts w:hint="eastAsia" w:ascii="仿宋_GB2312" w:hAnsi="仿宋_GB2312" w:cs="仿宋_GB2312"/>
          <w:sz w:val="32"/>
          <w:szCs w:val="32"/>
          <w:lang w:val="en-US" w:eastAsia="zh-CN"/>
        </w:rPr>
        <w:t>安全生产管理</w:t>
      </w:r>
      <w:r>
        <w:rPr>
          <w:rFonts w:hint="eastAsia" w:ascii="仿宋_GB2312" w:hAnsi="仿宋_GB2312" w:cs="仿宋_GB2312"/>
          <w:sz w:val="32"/>
          <w:szCs w:val="32"/>
        </w:rPr>
        <w:t>、</w:t>
      </w:r>
      <w:r>
        <w:rPr>
          <w:rFonts w:hint="eastAsia" w:ascii="仿宋_GB2312" w:hAnsi="仿宋_GB2312" w:cs="仿宋_GB2312"/>
          <w:sz w:val="32"/>
          <w:szCs w:val="32"/>
          <w:lang w:val="en-US" w:eastAsia="zh-CN"/>
        </w:rPr>
        <w:t>中小企业发展、国资党建</w:t>
      </w:r>
      <w:r>
        <w:rPr>
          <w:rFonts w:hint="eastAsia" w:ascii="仿宋_GB2312" w:hAnsi="仿宋_GB2312" w:cs="仿宋_GB2312"/>
          <w:sz w:val="32"/>
          <w:szCs w:val="32"/>
        </w:rPr>
        <w:t>等共</w:t>
      </w:r>
      <w:r>
        <w:rPr>
          <w:rFonts w:hint="eastAsia" w:ascii="仿宋_GB2312" w:hAnsi="仿宋_GB2312" w:cs="仿宋_GB2312"/>
          <w:sz w:val="32"/>
          <w:szCs w:val="32"/>
          <w:lang w:val="en-US" w:eastAsia="zh-CN"/>
        </w:rPr>
        <w:t>3</w:t>
      </w:r>
      <w:r>
        <w:rPr>
          <w:rFonts w:hint="eastAsia" w:ascii="仿宋_GB2312" w:hAnsi="仿宋_GB2312" w:cs="仿宋_GB2312"/>
          <w:sz w:val="32"/>
          <w:szCs w:val="32"/>
        </w:rPr>
        <w:t>个</w:t>
      </w:r>
      <w:r>
        <w:rPr>
          <w:rFonts w:hint="eastAsia" w:ascii="仿宋_GB2312" w:hAnsi="仿宋_GB2312" w:cs="仿宋_GB2312"/>
          <w:sz w:val="32"/>
          <w:szCs w:val="32"/>
          <w:lang w:val="en-US" w:eastAsia="zh-CN"/>
        </w:rPr>
        <w:t>二</w:t>
      </w:r>
      <w:r>
        <w:rPr>
          <w:rFonts w:hint="eastAsia" w:ascii="仿宋_GB2312" w:hAnsi="仿宋_GB2312" w:cs="仿宋_GB2312"/>
          <w:sz w:val="32"/>
          <w:szCs w:val="32"/>
        </w:rPr>
        <w:t>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1.</w:t>
      </w:r>
      <w:r>
        <w:rPr>
          <w:rFonts w:hint="eastAsia" w:ascii="仿宋_GB2312" w:hAnsi="仿宋_GB2312" w:cs="仿宋_GB2312"/>
          <w:sz w:val="32"/>
          <w:szCs w:val="32"/>
          <w:lang w:val="en-US" w:eastAsia="zh-CN"/>
        </w:rPr>
        <w:t>安全生产管理</w:t>
      </w:r>
      <w:r>
        <w:rPr>
          <w:rFonts w:hint="eastAsia" w:ascii="仿宋_GB2312" w:hAnsi="仿宋_GB2312" w:cs="仿宋_GB2312"/>
          <w:sz w:val="32"/>
          <w:szCs w:val="32"/>
        </w:rPr>
        <w:t>项目绩效自评综述：根据年初设定的绩效目标，项目自评得分</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分。项目全年预算数</w:t>
      </w:r>
      <w:r>
        <w:rPr>
          <w:rFonts w:hint="eastAsia" w:ascii="仿宋_GB2312" w:hAnsi="仿宋_GB2312" w:cs="仿宋_GB2312"/>
          <w:sz w:val="32"/>
          <w:szCs w:val="32"/>
          <w:lang w:val="en-US" w:eastAsia="zh-CN"/>
        </w:rPr>
        <w:t>2</w:t>
      </w:r>
      <w:r>
        <w:rPr>
          <w:rFonts w:hint="eastAsia" w:ascii="仿宋_GB2312" w:hAnsi="仿宋_GB2312" w:cs="仿宋_GB2312"/>
          <w:sz w:val="32"/>
          <w:szCs w:val="32"/>
        </w:rPr>
        <w:t>万元，执行数</w:t>
      </w:r>
      <w:r>
        <w:rPr>
          <w:rFonts w:hint="eastAsia" w:ascii="仿宋_GB2312" w:hAnsi="仿宋_GB2312" w:cs="仿宋_GB2312"/>
          <w:sz w:val="32"/>
          <w:szCs w:val="32"/>
          <w:lang w:val="en-US" w:eastAsia="zh-CN"/>
        </w:rPr>
        <w:t>2</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%。主要产出和效果：</w:t>
      </w:r>
      <w:r>
        <w:rPr>
          <w:rFonts w:hint="eastAsia" w:ascii="仿宋_GB2312" w:hAnsi="仿宋_GB2312" w:cs="仿宋_GB2312"/>
          <w:sz w:val="32"/>
          <w:szCs w:val="32"/>
          <w:lang w:val="en-US" w:eastAsia="zh-CN"/>
        </w:rPr>
        <w:t>全年规模工业企业未出现一起责任性安全事故。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w:t>
      </w:r>
      <w:r>
        <w:rPr>
          <w:rFonts w:hint="eastAsia" w:ascii="仿宋_GB2312" w:hAnsi="仿宋_GB2312" w:cs="仿宋_GB2312"/>
          <w:sz w:val="32"/>
          <w:szCs w:val="32"/>
          <w:lang w:val="en-US" w:eastAsia="zh-CN"/>
        </w:rPr>
        <w:t>中小企业发展</w:t>
      </w:r>
      <w:r>
        <w:rPr>
          <w:rFonts w:hint="eastAsia" w:ascii="仿宋_GB2312" w:hAnsi="仿宋_GB2312" w:cs="仿宋_GB2312"/>
          <w:sz w:val="32"/>
          <w:szCs w:val="32"/>
        </w:rPr>
        <w:t>项目绩效自评综述：根据年初设定的绩效目标，项目自评得分</w:t>
      </w:r>
      <w:r>
        <w:rPr>
          <w:rFonts w:hint="eastAsia" w:ascii="仿宋_GB2312" w:hAnsi="仿宋_GB2312" w:cs="仿宋_GB2312"/>
          <w:sz w:val="32"/>
          <w:szCs w:val="32"/>
          <w:lang w:val="en-US" w:eastAsia="zh-CN"/>
        </w:rPr>
        <w:t>98</w:t>
      </w:r>
      <w:r>
        <w:rPr>
          <w:rFonts w:hint="eastAsia" w:ascii="仿宋_GB2312" w:hAnsi="仿宋_GB2312" w:cs="仿宋_GB2312"/>
          <w:sz w:val="32"/>
          <w:szCs w:val="32"/>
        </w:rPr>
        <w:t>分。项目全年预算数</w:t>
      </w:r>
      <w:r>
        <w:rPr>
          <w:rFonts w:hint="eastAsia" w:ascii="仿宋_GB2312" w:hAnsi="仿宋_GB2312" w:cs="仿宋_GB2312"/>
          <w:sz w:val="32"/>
          <w:szCs w:val="32"/>
          <w:lang w:val="en-US" w:eastAsia="zh-CN"/>
        </w:rPr>
        <w:t>3</w:t>
      </w:r>
      <w:r>
        <w:rPr>
          <w:rFonts w:hint="eastAsia" w:ascii="仿宋_GB2312" w:hAnsi="仿宋_GB2312" w:cs="仿宋_GB2312"/>
          <w:sz w:val="32"/>
          <w:szCs w:val="32"/>
        </w:rPr>
        <w:t>万元，执行数</w:t>
      </w:r>
      <w:r>
        <w:rPr>
          <w:rFonts w:hint="eastAsia" w:ascii="仿宋_GB2312" w:hAnsi="仿宋_GB2312" w:cs="仿宋_GB2312"/>
          <w:sz w:val="32"/>
          <w:szCs w:val="32"/>
          <w:lang w:val="en-US" w:eastAsia="zh-CN"/>
        </w:rPr>
        <w:t>3</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100</w:t>
      </w:r>
      <w:r>
        <w:rPr>
          <w:rFonts w:hint="eastAsia" w:ascii="仿宋_GB2312" w:hAnsi="仿宋_GB2312" w:cs="仿宋_GB2312"/>
          <w:sz w:val="32"/>
          <w:szCs w:val="32"/>
        </w:rPr>
        <w:t>%。主要产出和效果：</w:t>
      </w:r>
      <w:r>
        <w:rPr>
          <w:rFonts w:hint="eastAsia" w:ascii="仿宋_GB2312" w:hAnsi="仿宋_GB2312" w:cs="仿宋_GB2312"/>
          <w:sz w:val="32"/>
          <w:szCs w:val="32"/>
          <w:lang w:val="en-US" w:eastAsia="zh-CN"/>
        </w:rPr>
        <w:t>全年深入企业31次，为企业解决复工复产、融资、用电等问题27个，培育规模企业5家。</w:t>
      </w:r>
    </w:p>
    <w:p>
      <w:pPr>
        <w:rPr>
          <w:rFonts w:ascii="仿宋_GB2312" w:hAnsi="仿宋_GB2312" w:cs="仿宋_GB2312"/>
        </w:rPr>
      </w:pPr>
      <w:r>
        <w:rPr>
          <w:rFonts w:ascii="仿宋_GB2312" w:hAnsi="仿宋_GB2312" w:cs="仿宋_GB2312"/>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523"/>
        <w:gridCol w:w="772"/>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276" w:type="dxa"/>
            <w:gridSpan w:val="8"/>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rPr>
              <w:t xml:space="preserve">通用项目—— </w:t>
            </w:r>
            <w:r>
              <w:rPr>
                <w:rFonts w:hint="eastAsia" w:ascii="宋体" w:hAnsi="宋体" w:eastAsia="宋体" w:cs="宋体"/>
                <w:sz w:val="18"/>
                <w:szCs w:val="18"/>
                <w:lang w:val="en-US" w:eastAsia="zh-CN"/>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lang w:val="en-US" w:eastAsia="zh-CN"/>
              </w:rPr>
              <w:t>县级</w:t>
            </w:r>
            <w:r>
              <w:rPr>
                <w:rFonts w:hint="eastAsia" w:ascii="宋体" w:hAnsi="宋体" w:eastAsia="宋体" w:cs="宋体"/>
                <w:sz w:val="18"/>
                <w:szCs w:val="18"/>
              </w:rPr>
              <w:t>主管部门</w:t>
            </w:r>
          </w:p>
        </w:tc>
        <w:tc>
          <w:tcPr>
            <w:tcW w:w="3369"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镇安县经济贸易局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677"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镇安县经济贸易局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全年预算数（A）</w:t>
            </w:r>
          </w:p>
        </w:tc>
        <w:tc>
          <w:tcPr>
            <w:tcW w:w="193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93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970"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93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93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970"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93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32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32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90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392"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lang w:val="en-US" w:eastAsia="zh-CN"/>
              </w:rPr>
              <w:t>全年规模企业安全生产0责任事故</w:t>
            </w:r>
          </w:p>
        </w:tc>
        <w:tc>
          <w:tcPr>
            <w:tcW w:w="3907" w:type="dxa"/>
            <w:gridSpan w:val="5"/>
            <w:tcBorders>
              <w:top w:val="single" w:color="auto" w:sz="4" w:space="0"/>
              <w:left w:val="single" w:color="auto" w:sz="4" w:space="0"/>
              <w:bottom w:val="single" w:color="auto" w:sz="4" w:space="0"/>
              <w:right w:val="single" w:color="auto" w:sz="4" w:space="0"/>
            </w:tcBorders>
          </w:tcPr>
          <w:p>
            <w:pPr>
              <w:spacing w:line="320" w:lineRule="exact"/>
              <w:ind w:firstLine="176" w:firstLineChars="1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全年规模工业企业未发生责任性安全事故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绩</w:t>
            </w:r>
          </w:p>
          <w:p>
            <w:pPr>
              <w:spacing w:line="360" w:lineRule="exact"/>
              <w:rPr>
                <w:rFonts w:hint="eastAsia" w:ascii="宋体" w:hAnsi="宋体" w:eastAsia="宋体" w:cs="宋体"/>
                <w:sz w:val="18"/>
                <w:szCs w:val="18"/>
              </w:rPr>
            </w:pPr>
            <w:r>
              <w:rPr>
                <w:rFonts w:hint="eastAsia" w:ascii="宋体" w:hAnsi="宋体" w:eastAsia="宋体" w:cs="宋体"/>
                <w:sz w:val="18"/>
                <w:szCs w:val="18"/>
              </w:rPr>
              <w:t>效</w:t>
            </w:r>
          </w:p>
          <w:p>
            <w:pPr>
              <w:spacing w:line="360" w:lineRule="exact"/>
              <w:rPr>
                <w:rFonts w:hint="eastAsia" w:ascii="宋体" w:hAnsi="宋体" w:eastAsia="宋体" w:cs="宋体"/>
                <w:sz w:val="18"/>
                <w:szCs w:val="18"/>
              </w:rPr>
            </w:pPr>
            <w:r>
              <w:rPr>
                <w:rFonts w:hint="eastAsia" w:ascii="宋体" w:hAnsi="宋体" w:eastAsia="宋体" w:cs="宋体"/>
                <w:sz w:val="18"/>
                <w:szCs w:val="18"/>
              </w:rPr>
              <w:t>指</w:t>
            </w:r>
          </w:p>
          <w:p>
            <w:pPr>
              <w:spacing w:line="360" w:lineRule="exact"/>
              <w:rPr>
                <w:rFonts w:hint="eastAsia" w:ascii="宋体" w:hAnsi="宋体" w:eastAsia="宋体" w:cs="宋体"/>
                <w:sz w:val="18"/>
                <w:szCs w:val="18"/>
              </w:rPr>
            </w:pPr>
            <w:r>
              <w:rPr>
                <w:rFonts w:hint="eastAsia" w:ascii="宋体" w:hAnsi="宋体" w:eastAsia="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产出</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数量指标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质量指标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社会效益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企业因安全生产产生的矛盾纠纷</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小于5</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lang w:val="en-US" w:eastAsia="zh-CN"/>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0</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lang w:val="en-US" w:eastAsia="zh-CN"/>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企业对主管部门满意度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ind w:firstLine="352"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大于96%</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19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9"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400" w:lineRule="exact"/>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400" w:lineRule="exact"/>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省级</w:t>
      </w:r>
      <w:r>
        <w:rPr>
          <w:rFonts w:hint="eastAsia" w:ascii="方正小标宋简体" w:hAnsi="方正小标宋简体" w:eastAsia="方正小标宋简体" w:cs="方正小标宋简体"/>
          <w:sz w:val="36"/>
          <w:szCs w:val="36"/>
        </w:rPr>
        <w:t>预算（项目）绩效目标自评表</w:t>
      </w:r>
    </w:p>
    <w:p>
      <w:pPr>
        <w:spacing w:line="5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jc w:val="center"/>
        <w:rPr>
          <w:rFonts w:hint="eastAsia" w:ascii="宋体" w:hAnsi="宋体" w:eastAsia="宋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135" w:type="dxa"/>
            <w:gridSpan w:val="8"/>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通用项目——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491" w:type="dxa"/>
            <w:gridSpan w:val="3"/>
            <w:tcBorders>
              <w:top w:val="single" w:color="auto" w:sz="4" w:space="0"/>
              <w:left w:val="single" w:color="auto" w:sz="4" w:space="0"/>
              <w:bottom w:val="single" w:color="auto" w:sz="4" w:space="0"/>
              <w:right w:val="single" w:color="auto" w:sz="4" w:space="0"/>
            </w:tcBorders>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1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24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24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64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648"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c>
          <w:tcPr>
            <w:tcW w:w="364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绩</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效</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指</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标</w:t>
            </w:r>
          </w:p>
        </w:tc>
        <w:tc>
          <w:tcPr>
            <w:tcW w:w="7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24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产出</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数量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台/套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个</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条</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质量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≦4小时</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≦30分钟</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指标6：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2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可持续影</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2"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2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widowControl/>
        <w:jc w:val="left"/>
        <w:rPr>
          <w:rFonts w:hint="eastAsia" w:ascii="宋体" w:hAnsi="宋体" w:eastAsia="宋体" w:cs="宋体"/>
          <w:sz w:val="18"/>
          <w:szCs w:val="18"/>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712" w:gutter="0"/>
          <w:paperSrc/>
          <w:cols w:space="0" w:num="1"/>
          <w:rtlGutter w:val="0"/>
          <w:docGrid w:type="linesAndChars" w:linePitch="579" w:charSpace="-849"/>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年度）</w:t>
      </w:r>
    </w:p>
    <w:p>
      <w:pPr>
        <w:spacing w:line="300" w:lineRule="exact"/>
        <w:rPr>
          <w:rFonts w:hint="eastAsia" w:ascii="宋体" w:hAnsi="宋体" w:eastAsia="宋体" w:cs="宋体"/>
          <w:sz w:val="24"/>
          <w:szCs w:val="24"/>
          <w:lang w:val="en-US" w:eastAsia="zh-CN"/>
        </w:rPr>
      </w:pPr>
      <w:r>
        <w:rPr>
          <w:rFonts w:hint="eastAsia" w:ascii="宋体" w:hAnsi="宋体" w:eastAsia="宋体" w:cs="宋体"/>
          <w:sz w:val="24"/>
          <w:szCs w:val="24"/>
        </w:rPr>
        <w:t>填报单位：</w:t>
      </w:r>
      <w:r>
        <w:rPr>
          <w:rFonts w:hint="eastAsia" w:ascii="宋体" w:hAnsi="宋体" w:eastAsia="宋体" w:cs="宋体"/>
          <w:sz w:val="24"/>
          <w:szCs w:val="24"/>
          <w:lang w:val="en-US" w:eastAsia="zh-CN"/>
        </w:rPr>
        <w:t>镇安县经济贸易局</w:t>
      </w:r>
      <w:r>
        <w:rPr>
          <w:rFonts w:hint="eastAsia" w:ascii="宋体" w:hAnsi="宋体" w:eastAsia="宋体" w:cs="宋体"/>
          <w:sz w:val="24"/>
          <w:szCs w:val="24"/>
        </w:rPr>
        <w:t xml:space="preserve">                                                                       自评得分：</w:t>
      </w:r>
      <w:r>
        <w:rPr>
          <w:rFonts w:hint="eastAsia" w:ascii="宋体" w:hAnsi="宋体" w:eastAsia="宋体" w:cs="宋体"/>
          <w:sz w:val="24"/>
          <w:szCs w:val="24"/>
          <w:lang w:val="en-US" w:eastAsia="zh-CN"/>
        </w:rPr>
        <w:t>95</w:t>
      </w:r>
    </w:p>
    <w:tbl>
      <w:tblPr>
        <w:tblStyle w:val="9"/>
        <w:tblW w:w="14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776"/>
        <w:gridCol w:w="2935"/>
        <w:gridCol w:w="1114"/>
        <w:gridCol w:w="734"/>
        <w:gridCol w:w="774"/>
        <w:gridCol w:w="372"/>
        <w:gridCol w:w="1526"/>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2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（一）简要概述部门职能与职责</w:t>
            </w:r>
          </w:p>
        </w:tc>
        <w:tc>
          <w:tcPr>
            <w:tcW w:w="85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贯彻工业和信息化法规，促进工业发展，牵头促进工业项目建设，提升产业机构合理性，促进鼓励类企业发展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2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（二）简要概述部门支出情况，按活动内容分类</w:t>
            </w:r>
          </w:p>
        </w:tc>
        <w:tc>
          <w:tcPr>
            <w:tcW w:w="85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主要支出为行政运行和落实企业发展扶持资金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2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（三）简要概述当年省委省政府下达的重点工作</w:t>
            </w:r>
          </w:p>
        </w:tc>
        <w:tc>
          <w:tcPr>
            <w:tcW w:w="85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值</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指标说明</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完成值</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得分</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预算完成数：部门（单位）本年度</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预算数：财政部门批复的本年度部门（单位）预算数。</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预算完成率=100%，得10分。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预算完成率≧95%的，得9分。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预算完成率在90%（含）和95%之间，得8分。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预算完成率在85%（含）和90%之间，得7分。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预算完成率在80%（含）和85%之间，得6分。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预算完成率在70%（含）和80%之间，得4分。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预算完成率在〈70%，得0分。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预算公开和决算系统报表数据</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pacing w:val="-6"/>
                <w:sz w:val="20"/>
                <w:szCs w:val="20"/>
              </w:rPr>
            </w:pPr>
            <w:r>
              <w:rPr>
                <w:rFonts w:hint="eastAsia" w:ascii="宋体" w:hAnsi="宋体" w:eastAsia="宋体" w:cs="宋体"/>
                <w:sz w:val="20"/>
                <w:szCs w:val="20"/>
              </w:rPr>
              <w:t>预算调整率</w:t>
            </w:r>
            <w:r>
              <w:rPr>
                <w:rFonts w:hint="eastAsia" w:ascii="宋体" w:hAnsi="宋体" w:eastAsia="宋体" w:cs="宋体"/>
                <w:spacing w:val="-6"/>
                <w:sz w:val="20"/>
                <w:szCs w:val="20"/>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预算包括一般公共预算与政府性基金预算。</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预算调整率绝对值≦5%,得5分。预算调整率绝对值〉5%的，每增加0.1个百分点扣0.1分，扣完为止。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预算公开和决算系统报表数据</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417%</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大量项目资金并未在年初预算进来</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值</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指标说明</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完成值</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得分</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前三季度支出进度=部门前三季度实际支出/（上年结余结转+本年部门预算安排+前三季度执行中追加追减）*100%。</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前三季度进度：进度率≧75%，得3分；进度率在60%（含）和75%之间，得2分；进度率〈60%，得0分。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集中支付</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半年</w:t>
            </w:r>
            <w:r>
              <w:rPr>
                <w:rFonts w:hint="eastAsia" w:ascii="宋体" w:hAnsi="宋体" w:eastAsia="宋体" w:cs="宋体"/>
                <w:sz w:val="20"/>
                <w:szCs w:val="20"/>
              </w:rPr>
              <w:t>进度率≧45%</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全年</w:t>
            </w:r>
            <w:r>
              <w:rPr>
                <w:rFonts w:hint="eastAsia" w:ascii="宋体" w:hAnsi="宋体" w:eastAsia="宋体" w:cs="宋体"/>
                <w:sz w:val="20"/>
                <w:szCs w:val="20"/>
              </w:rPr>
              <w:t>≧</w:t>
            </w:r>
            <w:r>
              <w:rPr>
                <w:rFonts w:hint="eastAsia" w:ascii="宋体" w:hAnsi="宋体" w:eastAsia="宋体" w:cs="宋体"/>
                <w:sz w:val="20"/>
                <w:szCs w:val="20"/>
                <w:lang w:val="en-US" w:eastAsia="zh-CN"/>
              </w:rPr>
              <w:t>90%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预算编制准确率=其他收入决算数/其他收入预算数×100%-100%。</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预算编制准确率〉40%，得0分。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预算公开和决算系统报表数据</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“三公经费”控制率=（“三公经费”实际支出数/“三公经费”预算安排数）×100%，用以反映和考核部门（单位）对“三公经费”的实际控制程度。</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三公经费控制率≦100%，得5分，每增加0.1个百分点扣0.5分，扣完为止。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预算公开和决算系统报表数据，财务数据</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1.新增资产配置按预算执行。</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2.资产有偿使用、处置按规定程序审批。</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3.资产收益及时、足额上缴财政。</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全符合要求</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值</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指标说明</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完成值</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得分</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2.资金的拨付有完整的审批程序和手续；</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3.重大项目开支经过评估论证；</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4.符合部门预算批复的用途；</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5.不存</w:t>
            </w:r>
            <w:r>
              <w:rPr>
                <w:rFonts w:hint="eastAsia" w:ascii="宋体" w:hAnsi="宋体" w:eastAsia="宋体" w:cs="宋体"/>
                <w:spacing w:val="-6"/>
                <w:sz w:val="20"/>
                <w:szCs w:val="20"/>
              </w:rPr>
              <w:t>在截留、挤占、挪用、虚列支出等情况。</w:t>
            </w:r>
          </w:p>
        </w:tc>
        <w:tc>
          <w:tcPr>
            <w:tcW w:w="2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全符合要求</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1.</w:t>
            </w:r>
            <w:r>
              <w:rPr>
                <w:rFonts w:hint="eastAsia" w:ascii="宋体" w:hAnsi="宋体" w:eastAsia="宋体" w:cs="宋体"/>
                <w:sz w:val="20"/>
                <w:szCs w:val="20"/>
                <w:lang w:val="en-US" w:eastAsia="zh-CN"/>
              </w:rPr>
              <w:t>责任性安全事故≤3</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3.</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9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pacing w:val="-6"/>
                <w:sz w:val="20"/>
                <w:szCs w:val="20"/>
              </w:rPr>
            </w:pPr>
            <w:r>
              <w:rPr>
                <w:rFonts w:hint="eastAsia" w:ascii="宋体" w:hAnsi="宋体" w:eastAsia="宋体" w:cs="宋体"/>
                <w:sz w:val="20"/>
                <w:szCs w:val="20"/>
              </w:rPr>
              <w:t>1.若为定</w:t>
            </w:r>
            <w:r>
              <w:rPr>
                <w:rFonts w:hint="eastAsia" w:ascii="宋体" w:hAnsi="宋体" w:eastAsia="宋体" w:cs="宋体"/>
                <w:spacing w:val="-6"/>
                <w:sz w:val="20"/>
                <w:szCs w:val="20"/>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2.若为定量指标，完成值达到指标值，记满分；未达到指标值，按完成比率计分，正向指标（即指标值为≧*）得分=实际完成值/年初目标值*该</w:t>
            </w:r>
            <w:r>
              <w:rPr>
                <w:rFonts w:hint="eastAsia" w:ascii="宋体" w:hAnsi="宋体" w:eastAsia="宋体" w:cs="宋体"/>
                <w:spacing w:val="-6"/>
                <w:sz w:val="20"/>
                <w:szCs w:val="20"/>
              </w:rPr>
              <w:t>指标分值，反向指标（即指标值为≦*）得分=年初目标值/实际完成值*该指标分值。</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2</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3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企业矛盾纠纷少，无群访越级访发生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3.</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9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6" w:hRule="atLeast"/>
          <w:jc w:val="center"/>
        </w:trPr>
        <w:tc>
          <w:tcPr>
            <w:tcW w:w="14824"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备注：</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0"/>
                <w:szCs w:val="20"/>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widowControl/>
        <w:jc w:val="left"/>
        <w:rPr>
          <w:rFonts w:ascii="宋体" w:hAnsi="宋体" w:cs="宋体"/>
          <w:sz w:val="18"/>
          <w:szCs w:val="18"/>
        </w:rPr>
        <w:sectPr>
          <w:pgSz w:w="16838" w:h="11906" w:orient="landscape"/>
          <w:pgMar w:top="1417" w:right="1417" w:bottom="1134" w:left="1417" w:header="851" w:footer="1531" w:gutter="0"/>
          <w:paperSrc/>
          <w:cols w:space="0" w:num="1"/>
          <w:rtlGutter w:val="0"/>
          <w:docGrid w:type="lines" w:linePitch="44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2020年机关运行经费年初预算为</w:t>
      </w:r>
      <w:r>
        <w:rPr>
          <w:rFonts w:hint="eastAsia" w:ascii="仿宋_GB2312" w:hAnsi="仿宋_GB2312" w:cs="仿宋_GB2312"/>
          <w:sz w:val="32"/>
          <w:szCs w:val="32"/>
          <w:lang w:val="en-US" w:eastAsia="zh-CN"/>
        </w:rPr>
        <w:t>0</w:t>
      </w:r>
      <w:r>
        <w:rPr>
          <w:rFonts w:hint="eastAsia" w:ascii="仿宋_GB2312" w:hAnsi="仿宋_GB2312" w:cs="仿宋_GB2312"/>
          <w:sz w:val="32"/>
          <w:szCs w:val="32"/>
        </w:rPr>
        <w:t>元万元，上年结转</w:t>
      </w:r>
      <w:r>
        <w:rPr>
          <w:rFonts w:hint="eastAsia" w:ascii="仿宋_GB2312" w:hAnsi="仿宋_GB2312" w:cs="仿宋_GB2312"/>
          <w:sz w:val="32"/>
          <w:szCs w:val="32"/>
          <w:lang w:val="en-US" w:eastAsia="zh-CN"/>
        </w:rPr>
        <w:t>7</w:t>
      </w:r>
      <w:r>
        <w:rPr>
          <w:rFonts w:hint="eastAsia" w:ascii="仿宋_GB2312" w:hAnsi="仿宋_GB2312" w:cs="仿宋_GB2312"/>
          <w:sz w:val="32"/>
          <w:szCs w:val="32"/>
        </w:rPr>
        <w:t>万元，调整预算数</w:t>
      </w:r>
      <w:r>
        <w:rPr>
          <w:rFonts w:hint="eastAsia" w:ascii="仿宋_GB2312" w:hAnsi="仿宋_GB2312" w:cs="仿宋_GB2312"/>
          <w:sz w:val="32"/>
          <w:szCs w:val="32"/>
          <w:lang w:val="en-US" w:eastAsia="zh-CN"/>
        </w:rPr>
        <w:t>37</w:t>
      </w:r>
      <w:r>
        <w:rPr>
          <w:rFonts w:hint="eastAsia" w:ascii="仿宋_GB2312" w:hAnsi="仿宋_GB2312" w:cs="仿宋_GB2312"/>
          <w:sz w:val="32"/>
          <w:szCs w:val="32"/>
        </w:rPr>
        <w:t>万元，支出决算为</w:t>
      </w:r>
      <w:r>
        <w:rPr>
          <w:rFonts w:hint="eastAsia" w:ascii="仿宋_GB2312" w:hAnsi="仿宋_GB2312" w:cs="仿宋_GB2312"/>
          <w:sz w:val="32"/>
          <w:szCs w:val="32"/>
          <w:lang w:val="en-US" w:eastAsia="zh-CN"/>
        </w:rPr>
        <w:t>36.84</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99.57</w:t>
      </w:r>
      <w:r>
        <w:rPr>
          <w:rFonts w:hint="eastAsia" w:ascii="仿宋_GB2312" w:hAnsi="仿宋_GB2312" w:cs="仿宋_GB2312"/>
          <w:sz w:val="32"/>
          <w:szCs w:val="32"/>
        </w:rPr>
        <w:t>%，决算数与预算数基本持平。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2020本部门政府采购支出总额支出</w:t>
      </w:r>
      <w:r>
        <w:rPr>
          <w:rFonts w:hint="eastAsia" w:ascii="仿宋_GB2312" w:hAnsi="仿宋_GB2312" w:cs="仿宋_GB2312"/>
          <w:sz w:val="32"/>
          <w:szCs w:val="32"/>
          <w:lang w:val="en-US" w:eastAsia="zh-CN"/>
        </w:rPr>
        <w:t>1</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其中</w:t>
      </w:r>
      <w:r>
        <w:rPr>
          <w:rFonts w:hint="eastAsia" w:ascii="仿宋_GB2312" w:hAnsi="仿宋_GB2312" w:cs="仿宋_GB2312"/>
          <w:sz w:val="32"/>
          <w:szCs w:val="32"/>
        </w:rPr>
        <w:t>政府采购服务类支出</w:t>
      </w:r>
      <w:r>
        <w:rPr>
          <w:rFonts w:hint="eastAsia" w:ascii="仿宋_GB2312" w:hAnsi="仿宋_GB2312" w:cs="仿宋_GB2312"/>
          <w:sz w:val="32"/>
          <w:szCs w:val="32"/>
          <w:lang w:val="en-US" w:eastAsia="zh-CN"/>
        </w:rPr>
        <w:t>1</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截至2020年末，本部门机关及所属单位公务车辆保有量</w:t>
      </w:r>
      <w:r>
        <w:rPr>
          <w:rFonts w:hint="eastAsia" w:ascii="仿宋_GB2312" w:hAnsi="仿宋_GB2312" w:cs="仿宋_GB2312"/>
          <w:sz w:val="32"/>
          <w:szCs w:val="32"/>
          <w:lang w:val="en-US" w:eastAsia="zh-CN"/>
        </w:rPr>
        <w:t>0</w:t>
      </w:r>
      <w:r>
        <w:rPr>
          <w:rFonts w:hint="eastAsia" w:ascii="仿宋_GB2312" w:hAnsi="仿宋_GB2312" w:cs="仿宋_GB2312"/>
          <w:sz w:val="32"/>
          <w:szCs w:val="32"/>
        </w:rPr>
        <w:t>辆；单价50万元以上的通用设备</w:t>
      </w:r>
      <w:r>
        <w:rPr>
          <w:rFonts w:hint="eastAsia" w:ascii="仿宋_GB2312" w:hAnsi="仿宋_GB2312" w:cs="仿宋_GB2312"/>
          <w:sz w:val="32"/>
          <w:szCs w:val="32"/>
          <w:lang w:val="en-US" w:eastAsia="zh-CN"/>
        </w:rPr>
        <w:t>0</w:t>
      </w:r>
      <w:r>
        <w:rPr>
          <w:rFonts w:hint="eastAsia" w:ascii="仿宋_GB2312" w:hAnsi="仿宋_GB2312" w:cs="仿宋_GB2312"/>
          <w:sz w:val="32"/>
          <w:szCs w:val="32"/>
        </w:rPr>
        <w:t>台（套）；单价100万元以上的专用设备</w:t>
      </w:r>
      <w:r>
        <w:rPr>
          <w:rFonts w:hint="eastAsia" w:ascii="仿宋_GB2312" w:hAnsi="仿宋_GB2312" w:cs="仿宋_GB2312"/>
          <w:sz w:val="32"/>
          <w:szCs w:val="32"/>
          <w:lang w:val="en-US" w:eastAsia="zh-CN"/>
        </w:rPr>
        <w:t>0</w:t>
      </w:r>
      <w:r>
        <w:rPr>
          <w:rFonts w:hint="eastAsia" w:ascii="仿宋_GB2312" w:hAnsi="仿宋_GB2312" w:cs="仿宋_GB2312"/>
          <w:sz w:val="32"/>
          <w:szCs w:val="32"/>
        </w:rPr>
        <w:t>台（套）。2020年当年购置车辆</w:t>
      </w:r>
      <w:r>
        <w:rPr>
          <w:rFonts w:hint="eastAsia" w:ascii="仿宋_GB2312" w:hAnsi="仿宋_GB2312" w:cs="仿宋_GB2312"/>
          <w:sz w:val="32"/>
          <w:szCs w:val="32"/>
          <w:lang w:val="en-US" w:eastAsia="zh-CN"/>
        </w:rPr>
        <w:t>0</w:t>
      </w:r>
      <w:r>
        <w:rPr>
          <w:rFonts w:hint="eastAsia" w:ascii="仿宋_GB2312" w:hAnsi="仿宋_GB2312" w:cs="仿宋_GB2312"/>
          <w:sz w:val="32"/>
          <w:szCs w:val="32"/>
        </w:rPr>
        <w:t>辆；购置单价50万元以上的通用设备</w:t>
      </w:r>
      <w:r>
        <w:rPr>
          <w:rFonts w:hint="eastAsia" w:ascii="仿宋_GB2312" w:hAnsi="仿宋_GB2312" w:cs="仿宋_GB2312"/>
          <w:sz w:val="32"/>
          <w:szCs w:val="32"/>
          <w:lang w:val="en-US" w:eastAsia="zh-CN"/>
        </w:rPr>
        <w:t>0</w:t>
      </w:r>
      <w:r>
        <w:rPr>
          <w:rFonts w:hint="eastAsia" w:ascii="仿宋_GB2312" w:hAnsi="仿宋_GB2312" w:cs="仿宋_GB2312"/>
          <w:sz w:val="32"/>
          <w:szCs w:val="32"/>
        </w:rPr>
        <w:t>台（套）；购置单价100万元以上的专用设备</w:t>
      </w:r>
      <w:r>
        <w:rPr>
          <w:rFonts w:hint="eastAsia" w:ascii="仿宋_GB2312" w:hAnsi="仿宋_GB2312" w:cs="仿宋_GB2312"/>
          <w:sz w:val="32"/>
          <w:szCs w:val="32"/>
          <w:lang w:val="en-US" w:eastAsia="zh-CN"/>
        </w:rPr>
        <w:t>0</w:t>
      </w:r>
      <w:r>
        <w:rPr>
          <w:rFonts w:hint="eastAsia" w:ascii="仿宋_GB2312" w:hAnsi="仿宋_GB2312" w:cs="仿宋_GB2312"/>
          <w:sz w:val="32"/>
          <w:szCs w:val="32"/>
        </w:rPr>
        <w:t>台（套）。</w:t>
      </w:r>
    </w:p>
    <w:p>
      <w:pPr>
        <w:spacing w:line="500" w:lineRule="exact"/>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1.基本支出：</w:t>
      </w:r>
      <w:r>
        <w:rPr>
          <w:rFonts w:hint="eastAsia" w:ascii="仿宋_GB2312" w:hAnsi="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2.项目支出：</w:t>
      </w:r>
      <w:r>
        <w:rPr>
          <w:rFonts w:hint="eastAsia" w:ascii="仿宋_GB2312" w:hAnsi="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3.“三公”经费：</w:t>
      </w:r>
      <w:r>
        <w:rPr>
          <w:rFonts w:hint="eastAsia" w:ascii="仿宋_GB2312" w:hAnsi="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4.财政拨款收入：</w:t>
      </w:r>
      <w:r>
        <w:rPr>
          <w:rFonts w:hint="eastAsia" w:ascii="仿宋_GB2312" w:hAnsi="仿宋_GB2312" w:cs="仿宋_GB2312"/>
          <w:sz w:val="32"/>
          <w:szCs w:val="32"/>
        </w:rPr>
        <w:t>指本级财政当年拨付的资金。</w:t>
      </w:r>
    </w:p>
    <w:p>
      <w:pPr>
        <w:ind w:firstLine="420"/>
      </w:pPr>
      <w:bookmarkStart w:id="0" w:name="_GoBack"/>
      <w:bookmarkEnd w:id="0"/>
    </w:p>
    <w:sectPr>
      <w:pgSz w:w="11906" w:h="16838"/>
      <w:pgMar w:top="1984" w:right="1474" w:bottom="1701" w:left="1587" w:header="851" w:footer="992" w:gutter="0"/>
      <w:paperSrc/>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7131"/>
    <w:multiLevelType w:val="singleLevel"/>
    <w:tmpl w:val="332B7131"/>
    <w:lvl w:ilvl="0" w:tentative="0">
      <w:start w:val="1"/>
      <w:numFmt w:val="decimal"/>
      <w:lvlText w:val="%1."/>
      <w:lvlJc w:val="left"/>
      <w:pPr>
        <w:tabs>
          <w:tab w:val="left" w:pos="312"/>
        </w:tabs>
      </w:pPr>
    </w:lvl>
  </w:abstractNum>
  <w:abstractNum w:abstractNumId="1">
    <w:nsid w:val="749BE1D3"/>
    <w:multiLevelType w:val="singleLevel"/>
    <w:tmpl w:val="749BE1D3"/>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0"/>
  <w:bordersDoNotSurroundFooter w:val="0"/>
  <w:documentProtection w:enforcement="0"/>
  <w:defaultTabStop w:val="420"/>
  <w:drawingGridVerticalSpacing w:val="21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1206"/>
    <w:rsid w:val="0010132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D1B"/>
    <w:rsid w:val="0016475B"/>
    <w:rsid w:val="0016487F"/>
    <w:rsid w:val="00165A91"/>
    <w:rsid w:val="00166E82"/>
    <w:rsid w:val="00167AE7"/>
    <w:rsid w:val="00167B08"/>
    <w:rsid w:val="001707AE"/>
    <w:rsid w:val="00170B1C"/>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2609"/>
    <w:rsid w:val="001C399E"/>
    <w:rsid w:val="001C3E40"/>
    <w:rsid w:val="001C4955"/>
    <w:rsid w:val="001C4B76"/>
    <w:rsid w:val="001C7FC7"/>
    <w:rsid w:val="001D12CF"/>
    <w:rsid w:val="001D13F4"/>
    <w:rsid w:val="001D18F3"/>
    <w:rsid w:val="001D211E"/>
    <w:rsid w:val="001D33FB"/>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7EF3"/>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2063"/>
    <w:rsid w:val="0032300B"/>
    <w:rsid w:val="0032382A"/>
    <w:rsid w:val="00323FEB"/>
    <w:rsid w:val="0032480D"/>
    <w:rsid w:val="00324862"/>
    <w:rsid w:val="00325E72"/>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1C4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1961"/>
    <w:rsid w:val="00473605"/>
    <w:rsid w:val="00473607"/>
    <w:rsid w:val="0047551E"/>
    <w:rsid w:val="0047599C"/>
    <w:rsid w:val="00475D53"/>
    <w:rsid w:val="004762BE"/>
    <w:rsid w:val="00476483"/>
    <w:rsid w:val="004810F1"/>
    <w:rsid w:val="004817A4"/>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FCC"/>
    <w:rsid w:val="005849D6"/>
    <w:rsid w:val="00584E41"/>
    <w:rsid w:val="00585F07"/>
    <w:rsid w:val="00586B9D"/>
    <w:rsid w:val="00587FA1"/>
    <w:rsid w:val="00590D99"/>
    <w:rsid w:val="00591828"/>
    <w:rsid w:val="005949AA"/>
    <w:rsid w:val="005962FC"/>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203C"/>
    <w:rsid w:val="00762266"/>
    <w:rsid w:val="007622A8"/>
    <w:rsid w:val="00762EA0"/>
    <w:rsid w:val="00763ABB"/>
    <w:rsid w:val="00763C00"/>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5A"/>
    <w:rsid w:val="00784C4C"/>
    <w:rsid w:val="00786B52"/>
    <w:rsid w:val="007870BE"/>
    <w:rsid w:val="00790F68"/>
    <w:rsid w:val="00791E9C"/>
    <w:rsid w:val="00792164"/>
    <w:rsid w:val="00792F66"/>
    <w:rsid w:val="00793B57"/>
    <w:rsid w:val="00793CBE"/>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15CA"/>
    <w:rsid w:val="008E1F59"/>
    <w:rsid w:val="008E4DC7"/>
    <w:rsid w:val="008E4DD8"/>
    <w:rsid w:val="008E7E79"/>
    <w:rsid w:val="008E7FEA"/>
    <w:rsid w:val="008F1435"/>
    <w:rsid w:val="008F2032"/>
    <w:rsid w:val="008F219B"/>
    <w:rsid w:val="008F2296"/>
    <w:rsid w:val="008F3841"/>
    <w:rsid w:val="008F467C"/>
    <w:rsid w:val="008F563F"/>
    <w:rsid w:val="008F61A5"/>
    <w:rsid w:val="008F6B16"/>
    <w:rsid w:val="008F6C21"/>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B0436"/>
    <w:rsid w:val="009B1331"/>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2BD3"/>
    <w:rsid w:val="009E522C"/>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BC0"/>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FCD"/>
    <w:rsid w:val="00C3407A"/>
    <w:rsid w:val="00C34618"/>
    <w:rsid w:val="00C34A26"/>
    <w:rsid w:val="00C34B36"/>
    <w:rsid w:val="00C353E0"/>
    <w:rsid w:val="00C35691"/>
    <w:rsid w:val="00C356BE"/>
    <w:rsid w:val="00C3586B"/>
    <w:rsid w:val="00C358DC"/>
    <w:rsid w:val="00C366AA"/>
    <w:rsid w:val="00C37EEE"/>
    <w:rsid w:val="00C40278"/>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5EA6"/>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F35"/>
    <w:rsid w:val="00EE5604"/>
    <w:rsid w:val="00EE579E"/>
    <w:rsid w:val="00EE7CF2"/>
    <w:rsid w:val="00EF07A1"/>
    <w:rsid w:val="00EF0988"/>
    <w:rsid w:val="00EF11C5"/>
    <w:rsid w:val="00EF1944"/>
    <w:rsid w:val="00EF280C"/>
    <w:rsid w:val="00EF2C8D"/>
    <w:rsid w:val="00EF3485"/>
    <w:rsid w:val="00EF42A1"/>
    <w:rsid w:val="00EF4A10"/>
    <w:rsid w:val="00EF52A3"/>
    <w:rsid w:val="00EF65FA"/>
    <w:rsid w:val="00EF6FCD"/>
    <w:rsid w:val="00EF78D3"/>
    <w:rsid w:val="00F004B2"/>
    <w:rsid w:val="00F0085E"/>
    <w:rsid w:val="00F00F86"/>
    <w:rsid w:val="00F028EB"/>
    <w:rsid w:val="00F02BF3"/>
    <w:rsid w:val="00F03650"/>
    <w:rsid w:val="00F03840"/>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6816"/>
    <w:rsid w:val="00F47485"/>
    <w:rsid w:val="00F4797E"/>
    <w:rsid w:val="00F50129"/>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297319B"/>
    <w:rsid w:val="04C060FC"/>
    <w:rsid w:val="08063D81"/>
    <w:rsid w:val="0B685087"/>
    <w:rsid w:val="0C436EE3"/>
    <w:rsid w:val="0CF67ECE"/>
    <w:rsid w:val="0E656716"/>
    <w:rsid w:val="11607CB5"/>
    <w:rsid w:val="16B306C2"/>
    <w:rsid w:val="1A8D2E56"/>
    <w:rsid w:val="1F3D6094"/>
    <w:rsid w:val="23054BD9"/>
    <w:rsid w:val="2B8A544D"/>
    <w:rsid w:val="2CCE5948"/>
    <w:rsid w:val="2ECB7CD8"/>
    <w:rsid w:val="300E04BE"/>
    <w:rsid w:val="33D65125"/>
    <w:rsid w:val="35A27F66"/>
    <w:rsid w:val="3CD73D43"/>
    <w:rsid w:val="3D0D5366"/>
    <w:rsid w:val="3D7B659B"/>
    <w:rsid w:val="3FCE639E"/>
    <w:rsid w:val="42C17A2C"/>
    <w:rsid w:val="43677D26"/>
    <w:rsid w:val="453110C7"/>
    <w:rsid w:val="480D770F"/>
    <w:rsid w:val="482E0DBE"/>
    <w:rsid w:val="4A044CF5"/>
    <w:rsid w:val="53ED0527"/>
    <w:rsid w:val="54D04727"/>
    <w:rsid w:val="5B1C1062"/>
    <w:rsid w:val="5B1C779D"/>
    <w:rsid w:val="5D8857DE"/>
    <w:rsid w:val="5DA65460"/>
    <w:rsid w:val="6A71168F"/>
    <w:rsid w:val="6F5353DE"/>
    <w:rsid w:val="70E9353A"/>
    <w:rsid w:val="734B2E2E"/>
    <w:rsid w:val="75B826BB"/>
    <w:rsid w:val="778E3D04"/>
    <w:rsid w:val="78DE7862"/>
    <w:rsid w:val="7E0D211F"/>
    <w:rsid w:val="7E14134C"/>
    <w:rsid w:val="7EBC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uiPriority w:val="0"/>
    <w:rPr>
      <w:rFonts w:eastAsia="宋体"/>
      <w:b/>
      <w:bCs/>
      <w:kern w:val="2"/>
      <w:sz w:val="30"/>
      <w:szCs w:val="24"/>
    </w:rPr>
  </w:style>
  <w:style w:type="paragraph" w:styleId="3">
    <w:name w:val="Plain Text"/>
    <w:basedOn w:val="1"/>
    <w:link w:val="16"/>
    <w:semiHidden/>
    <w:unhideWhenUsed/>
    <w:uiPriority w:val="0"/>
    <w:rPr>
      <w:rFonts w:ascii="宋体" w:hAnsi="Courier New" w:eastAsia="宋体" w:cs="Courier New"/>
      <w:kern w:val="2"/>
      <w:sz w:val="21"/>
      <w:szCs w:val="21"/>
    </w:rPr>
  </w:style>
  <w:style w:type="paragraph" w:styleId="4">
    <w:name w:val="Date"/>
    <w:basedOn w:val="1"/>
    <w:next w:val="1"/>
    <w:link w:val="15"/>
    <w:semiHidden/>
    <w:unhideWhenUsed/>
    <w:uiPriority w:val="0"/>
    <w:pPr>
      <w:ind w:left="100" w:leftChars="2500"/>
    </w:pPr>
    <w:rPr>
      <w:rFonts w:eastAsia="宋体"/>
      <w:kern w:val="2"/>
      <w:sz w:val="21"/>
      <w:szCs w:val="24"/>
    </w:rPr>
  </w:style>
  <w:style w:type="paragraph" w:styleId="5">
    <w:name w:val="Balloon Text"/>
    <w:basedOn w:val="1"/>
    <w:link w:val="17"/>
    <w:semiHidden/>
    <w:unhideWhenUsed/>
    <w:uiPriority w:val="0"/>
    <w:rPr>
      <w:sz w:val="18"/>
      <w:szCs w:val="18"/>
    </w:rPr>
  </w:style>
  <w:style w:type="paragraph" w:styleId="6">
    <w:name w:val="footer"/>
    <w:basedOn w:val="1"/>
    <w:link w:val="13"/>
    <w:semiHidden/>
    <w:unhideWhenUsed/>
    <w:uiPriority w:val="0"/>
    <w:pPr>
      <w:tabs>
        <w:tab w:val="center" w:pos="4153"/>
        <w:tab w:val="right" w:pos="8306"/>
      </w:tabs>
      <w:snapToGrid w:val="0"/>
      <w:jc w:val="left"/>
    </w:pPr>
    <w:rPr>
      <w:sz w:val="18"/>
      <w:szCs w:val="18"/>
    </w:rPr>
  </w:style>
  <w:style w:type="paragraph" w:styleId="7">
    <w:name w:val="header"/>
    <w:basedOn w:val="1"/>
    <w:link w:val="12"/>
    <w:semiHidden/>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uiPriority w:val="0"/>
    <w:rPr>
      <w:rFonts w:ascii="Times New Roman" w:hAnsi="Times New Roman" w:eastAsia="宋体" w:cs="Times New Roman"/>
      <w:b/>
      <w:bCs/>
      <w:sz w:val="30"/>
      <w:szCs w:val="24"/>
    </w:rPr>
  </w:style>
  <w:style w:type="character" w:customStyle="1" w:styleId="15">
    <w:name w:val="日期 Char"/>
    <w:basedOn w:val="11"/>
    <w:link w:val="4"/>
    <w:semiHidden/>
    <w:uiPriority w:val="0"/>
    <w:rPr>
      <w:rFonts w:ascii="Times New Roman" w:hAnsi="Times New Roman" w:eastAsia="宋体" w:cs="Times New Roman"/>
      <w:szCs w:val="24"/>
    </w:rPr>
  </w:style>
  <w:style w:type="character" w:customStyle="1" w:styleId="16">
    <w:name w:val="纯文本 Char"/>
    <w:basedOn w:val="11"/>
    <w:link w:val="3"/>
    <w:semiHidden/>
    <w:uiPriority w:val="0"/>
    <w:rPr>
      <w:rFonts w:ascii="宋体" w:hAnsi="Courier New" w:eastAsia="宋体" w:cs="Courier New"/>
      <w:szCs w:val="21"/>
    </w:rPr>
  </w:style>
  <w:style w:type="character" w:customStyle="1" w:styleId="17">
    <w:name w:val="批注框文本 Char"/>
    <w:basedOn w:val="11"/>
    <w:link w:val="5"/>
    <w:semiHidden/>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镇安县经济贸易局单位人员结构分布图</a:t>
            </a:r>
            <a:endParaRPr lang="zh-CN" altLang="en-US" b="1"/>
          </a:p>
        </c:rich>
      </c:tx>
      <c:layout>
        <c:manualLayout>
          <c:xMode val="edge"/>
          <c:yMode val="edge"/>
          <c:x val="0.183857276646968"/>
          <c:y val="0.03275049051408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explosion val="5"/>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27471657182808"/>
                  <c:y val="0.044499750921464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042791310072"/>
                      <c:h val="0.138406537282942"/>
                    </c:manualLayout>
                  </c15:layout>
                </c:ext>
              </c:extLst>
            </c:dLbl>
            <c:dLbl>
              <c:idx val="1"/>
              <c:layout>
                <c:manualLayout>
                  <c:x val="0.146581429298477"/>
                  <c:y val="-0.16939856484113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6208031599737"/>
                      <c:h val="0.151174668028601"/>
                    </c:manualLayout>
                  </c15:layout>
                </c:ext>
              </c:extLst>
            </c:dLbl>
            <c:dLbl>
              <c:idx val="2"/>
              <c:layout>
                <c:manualLayout>
                  <c:x val="0.0898934190228538"/>
                  <c:y val="0.11753331047903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97526836169171"/>
                      <c:h val="0.138406619758498"/>
                    </c:manualLayout>
                  </c15:layout>
                </c:ext>
              </c:extLst>
            </c:dLbl>
            <c:dLbl>
              <c:idx val="3"/>
              <c:layout>
                <c:manualLayout>
                  <c:x val="0.00796508300077024"/>
                  <c:y val="0.030558910969389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在职行政人员</c:v>
                </c:pt>
                <c:pt idx="1">
                  <c:v>退休人员</c:v>
                </c:pt>
                <c:pt idx="2">
                  <c:v>在职工勤人员</c:v>
                </c:pt>
                <c:pt idx="3">
                  <c:v>借调及临聘人员</c:v>
                </c:pt>
              </c:strCache>
            </c:strRef>
          </c:cat>
          <c:val>
            <c:numRef>
              <c:f>Sheet1!$B$2:$B$5</c:f>
              <c:numCache>
                <c:formatCode>General</c:formatCode>
                <c:ptCount val="4"/>
                <c:pt idx="0">
                  <c:v>15</c:v>
                </c:pt>
                <c:pt idx="1">
                  <c:v>39</c:v>
                </c:pt>
                <c:pt idx="2">
                  <c:v>1</c:v>
                </c:pt>
                <c:pt idx="3">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t>收入、支出决算总体变动情况</a:t>
            </a:r>
          </a:p>
        </c:rich>
      </c:tx>
      <c:layout>
        <c:manualLayout>
          <c:xMode val="edge"/>
          <c:yMode val="edge"/>
          <c:x val="0.161131676708535"/>
          <c:y val="0.0465283030983383"/>
        </c:manualLayout>
      </c:layout>
      <c:overlay val="0"/>
      <c:spPr>
        <a:noFill/>
        <a:ln>
          <a:noFill/>
        </a:ln>
        <a:effectLst/>
      </c:spPr>
    </c:title>
    <c:autoTitleDeleted val="0"/>
    <c:plotArea>
      <c:layout>
        <c:manualLayout>
          <c:layoutTarget val="inner"/>
          <c:xMode val="edge"/>
          <c:yMode val="edge"/>
          <c:x val="0.171879027012005"/>
          <c:y val="0.180334343433775"/>
          <c:w val="0.762171945701357"/>
          <c:h val="0.664524664524665"/>
        </c:manualLayout>
      </c:layout>
      <c:barChart>
        <c:barDir val="col"/>
        <c:grouping val="clustered"/>
        <c:varyColors val="0"/>
        <c:ser>
          <c:idx val="0"/>
          <c:order val="0"/>
          <c:spPr>
            <a:solidFill>
              <a:schemeClr val="accent3">
                <a:alpha val="70000"/>
              </a:schemeClr>
            </a:solidFill>
            <a:ln>
              <a:noFill/>
            </a:ln>
            <a:effectLst/>
          </c:spPr>
          <c:invertIfNegative val="0"/>
          <c:dPt>
            <c:idx val="0"/>
            <c:invertIfNegative val="0"/>
            <c:bubble3D val="0"/>
          </c:dPt>
          <c:dPt>
            <c:idx val="1"/>
            <c:invertIfNegative val="0"/>
            <c:bubble3D val="0"/>
            <c:spPr>
              <a:solidFill>
                <a:schemeClr val="tx2">
                  <a:lumMod val="40000"/>
                  <a:lumOff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2019年</c:v>
                </c:pt>
                <c:pt idx="1">
                  <c:v>2020年</c:v>
                </c:pt>
              </c:strCache>
            </c:strRef>
          </c:cat>
          <c:val>
            <c:numRef>
              <c:f>Sheet1!$B$2:$B$3</c:f>
              <c:numCache>
                <c:formatCode>General</c:formatCode>
                <c:ptCount val="2"/>
                <c:pt idx="0">
                  <c:v>1152.14</c:v>
                </c:pt>
                <c:pt idx="1">
                  <c:v>3141.25</c:v>
                </c:pt>
              </c:numCache>
            </c:numRef>
          </c:val>
        </c:ser>
        <c:dLbls>
          <c:showLegendKey val="0"/>
          <c:showVal val="1"/>
          <c:showCatName val="0"/>
          <c:showSerName val="1"/>
          <c:showPercent val="0"/>
          <c:showBubbleSize val="0"/>
        </c:dLbls>
        <c:gapWidth val="50"/>
        <c:overlap val="0"/>
        <c:axId val="884732178"/>
        <c:axId val="630043410"/>
      </c:barChart>
      <c:catAx>
        <c:axId val="88473217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0043410"/>
        <c:crossesAt val="0"/>
        <c:auto val="1"/>
        <c:lblAlgn val="ctr"/>
        <c:lblOffset val="100"/>
        <c:noMultiLvlLbl val="0"/>
      </c:catAx>
      <c:valAx>
        <c:axId val="63004341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473217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347574508560558"/>
          <c:y val="0.864806285559469"/>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manualLayout>
          <c:xMode val="edge"/>
          <c:yMode val="edge"/>
          <c:x val="0.412916500730121"/>
          <c:y val="0.021117296985985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00895699027980823"/>
                  <c:y val="-0.12292964008758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272983389368613"/>
                  <c:y val="0.0491526204343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266.29，9%</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项目支出</c:v>
                </c:pt>
                <c:pt idx="1">
                  <c:v>基本支出</c:v>
                </c:pt>
              </c:strCache>
            </c:strRef>
          </c:cat>
          <c:val>
            <c:numRef>
              <c:f>Sheet1!$B$2:$B$3</c:f>
              <c:numCache>
                <c:formatCode>General</c:formatCode>
                <c:ptCount val="2"/>
                <c:pt idx="0">
                  <c:v>2797.26</c:v>
                </c:pt>
                <c:pt idx="1">
                  <c:v>266.29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t>财政拨款收入支出决算总体变动情况 </a:t>
            </a:r>
          </a:p>
        </c:rich>
      </c:tx>
      <c:layout>
        <c:manualLayout>
          <c:xMode val="edge"/>
          <c:yMode val="edge"/>
          <c:x val="0.148623415352821"/>
          <c:y val="0.0437870590479608"/>
        </c:manualLayout>
      </c:layout>
      <c:overlay val="0"/>
      <c:spPr>
        <a:noFill/>
        <a:ln>
          <a:noFill/>
        </a:ln>
        <a:effectLst/>
      </c:spPr>
    </c:title>
    <c:autoTitleDeleted val="0"/>
    <c:plotArea>
      <c:layout>
        <c:manualLayout>
          <c:layoutTarget val="inner"/>
          <c:xMode val="edge"/>
          <c:yMode val="edge"/>
          <c:x val="0.186095450019963"/>
          <c:y val="0.18547617260738"/>
          <c:w val="0.762171945701357"/>
          <c:h val="0.664524664524665"/>
        </c:manualLayout>
      </c:layout>
      <c:barChart>
        <c:barDir val="col"/>
        <c:grouping val="clustered"/>
        <c:varyColors val="0"/>
        <c:ser>
          <c:idx val="0"/>
          <c:order val="0"/>
          <c:spPr>
            <a:solidFill>
              <a:schemeClr val="accent3">
                <a:alpha val="70000"/>
              </a:schemeClr>
            </a:solidFill>
            <a:ln>
              <a:noFill/>
            </a:ln>
            <a:effectLst/>
          </c:spPr>
          <c:invertIfNegative val="0"/>
          <c:dPt>
            <c:idx val="0"/>
            <c:invertIfNegative val="0"/>
            <c:bubble3D val="0"/>
          </c:dPt>
          <c:dPt>
            <c:idx val="1"/>
            <c:invertIfNegative val="0"/>
            <c:bubble3D val="0"/>
            <c:spPr>
              <a:solidFill>
                <a:schemeClr val="tx2">
                  <a:lumMod val="40000"/>
                  <a:lumOff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2019年</c:v>
                </c:pt>
                <c:pt idx="1">
                  <c:v>2020年</c:v>
                </c:pt>
              </c:strCache>
            </c:strRef>
          </c:cat>
          <c:val>
            <c:numRef>
              <c:f>Sheet1!$B$2:$B$3</c:f>
              <c:numCache>
                <c:formatCode>General</c:formatCode>
                <c:ptCount val="2"/>
                <c:pt idx="0">
                  <c:v>1152.14</c:v>
                </c:pt>
                <c:pt idx="1">
                  <c:v>3141.25</c:v>
                </c:pt>
              </c:numCache>
            </c:numRef>
          </c:val>
        </c:ser>
        <c:dLbls>
          <c:showLegendKey val="0"/>
          <c:showVal val="1"/>
          <c:showCatName val="0"/>
          <c:showSerName val="1"/>
          <c:showPercent val="0"/>
          <c:showBubbleSize val="0"/>
        </c:dLbls>
        <c:gapWidth val="50"/>
        <c:overlap val="0"/>
        <c:axId val="884732178"/>
        <c:axId val="630043410"/>
      </c:barChart>
      <c:catAx>
        <c:axId val="88473217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0043410"/>
        <c:crossesAt val="0"/>
        <c:auto val="1"/>
        <c:lblAlgn val="ctr"/>
        <c:lblOffset val="100"/>
        <c:noMultiLvlLbl val="0"/>
      </c:catAx>
      <c:valAx>
        <c:axId val="63004341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473217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347574508560558"/>
          <c:y val="0.864806285559469"/>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1642</Words>
  <Characters>9360</Characters>
  <Lines>78</Lines>
  <Paragraphs>21</Paragraphs>
  <TotalTime>1</TotalTime>
  <ScaleCrop>false</ScaleCrop>
  <LinksUpToDate>false</LinksUpToDate>
  <CharactersWithSpaces>10981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2021-09-09T00:39:00Z</dcterms:created>
  <dc:creator>江瑞</dc:creator>
  <cp:lastModifiedBy>九步皆爱</cp:lastModifiedBy>
  <dcterms:modified xsi:type="dcterms:W3CDTF">2021-09-26T07:43:58Z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