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sz w:val="32"/>
          <w:szCs w:val="32"/>
        </w:rPr>
      </w:pPr>
    </w:p>
    <w:p>
      <w:pPr>
        <w:jc w:val="center"/>
        <w:rPr>
          <w:rFonts w:hint="eastAsia"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镇安县红十字会</w:t>
      </w: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2020年部门决算</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left"/>
        <w:rPr>
          <w:sz w:val="32"/>
          <w:szCs w:val="32"/>
        </w:rPr>
      </w:pPr>
    </w:p>
    <w:p>
      <w:pPr>
        <w:jc w:val="left"/>
        <w:rPr>
          <w:sz w:val="32"/>
          <w:szCs w:val="32"/>
        </w:rPr>
      </w:pPr>
    </w:p>
    <w:p>
      <w:pPr>
        <w:jc w:val="left"/>
        <w:rPr>
          <w:sz w:val="32"/>
          <w:szCs w:val="32"/>
        </w:rPr>
      </w:pPr>
    </w:p>
    <w:p>
      <w:pPr>
        <w:ind w:firstLine="2080" w:firstLineChars="650"/>
        <w:jc w:val="left"/>
        <w:rPr>
          <w:rFonts w:hint="eastAsia" w:ascii="黑体" w:hAnsi="黑体" w:eastAsia="黑体" w:cs="黑体"/>
          <w:sz w:val="32"/>
          <w:szCs w:val="32"/>
        </w:rPr>
      </w:pPr>
      <w:r>
        <w:rPr>
          <w:rFonts w:hint="eastAsia" w:ascii="黑体" w:hAnsi="黑体" w:eastAsia="黑体" w:cs="黑体"/>
          <w:sz w:val="32"/>
          <w:szCs w:val="32"/>
        </w:rPr>
        <w:t>保密审查情况：已审查</w:t>
      </w:r>
    </w:p>
    <w:p>
      <w:pPr>
        <w:spacing w:line="560" w:lineRule="exact"/>
        <w:ind w:firstLine="2080" w:firstLineChars="650"/>
        <w:rPr>
          <w:rFonts w:hint="eastAsia" w:ascii="黑体" w:hAnsi="黑体" w:eastAsia="黑体" w:cs="黑体"/>
          <w:sz w:val="32"/>
          <w:szCs w:val="32"/>
        </w:rPr>
      </w:pPr>
      <w:r>
        <w:rPr>
          <w:rFonts w:hint="eastAsia" w:ascii="黑体" w:hAnsi="黑体" w:eastAsia="黑体" w:cs="黑体"/>
          <w:sz w:val="32"/>
          <w:szCs w:val="32"/>
        </w:rPr>
        <w:t>部门主要负责人审签情况：已审签</w:t>
      </w:r>
    </w:p>
    <w:p>
      <w:pPr>
        <w:spacing w:line="560" w:lineRule="exact"/>
        <w:ind w:firstLine="2080" w:firstLineChars="650"/>
        <w:rPr>
          <w:rFonts w:ascii="仿宋_GB2312" w:hAnsi="仿宋" w:eastAsia="仿宋_GB2312"/>
          <w:sz w:val="32"/>
          <w:szCs w:val="32"/>
        </w:rPr>
      </w:pPr>
      <w:r>
        <w:rPr>
          <w:rFonts w:hint="eastAsia" w:ascii="黑体" w:hAnsi="黑体" w:eastAsia="黑体" w:cs="黑体"/>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p>
      <w:pPr>
        <w:jc w:val="center"/>
        <w:rPr>
          <w:rFonts w:ascii="方正小标宋简体" w:hAnsi="方正小标宋简体" w:eastAsia="方正小标宋简体" w:cs="方正小标宋简体"/>
          <w:sz w:val="40"/>
          <w:szCs w:val="40"/>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0"/>
          <w:szCs w:val="40"/>
        </w:rPr>
        <w:t>第一部分  部门概况</w:t>
      </w:r>
    </w:p>
    <w:p>
      <w:pPr>
        <w:spacing w:line="400" w:lineRule="exact"/>
        <w:ind w:firstLine="640" w:firstLineChars="200"/>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一、部门主要职责及内设机构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（一）主要职责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rPr>
        <w:t>镇安县红十字会为县政府直属管理的正科级事业机构，财政全额拨款单位。主要职责是：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rPr>
        <w:t>（一）宣传、贯彻、执行《中华人民共和国红十字会法》和《中国红十字会章程》，组织落实中国红十字会工作的方针、政策；指导全县各级及行业红十字会开展活动，推动全县红十字会各项工作的开展。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rPr>
        <w:t>（二）开展全县救灾准备工作。在自然灾害和突发事件中，开展救护和救助工作；调查了解灾情，依法开展募捐活动；依法接受国内外组织和个人的捐赠；及时向灾区群众和受难者提供人道主义援助。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rPr>
        <w:t>（三）开展卫生救护宣传和普及工作。组织开展群众性初级卫生救护培训；组织群众参加意外伤害和自然灾害的现场救护。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rPr>
        <w:t>（四）组织会员和志愿工作者开展人道领域内的社区服务和社会公益活动。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rPr>
        <w:t>（五）依法参与、推动无偿献血工作；参与艾滋病防治的宣传教育工作。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rPr>
        <w:t>（六）开展有益于青少年身心健康、弘扬人道主义精神的红十字青少年活动，培养青少年人道主义意识，弘扬红十字会的人道、奉献、博爱精神。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rPr>
        <w:t>（七）宣传日内瓦公约及其附加议定书、红十字与红新月运动基本原则，并依照有关规定开展工作。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rPr>
        <w:t>（八）加强红十字队伍建设，大力发展新组织，发展新会员。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仿宋_GB2312" w:hAnsi="仿宋_GB2312" w:eastAsia="仿宋_GB2312" w:cs="仿宋_GB2312"/>
          <w:color w:val="000000"/>
          <w:kern w:val="0"/>
          <w:sz w:val="32"/>
          <w:szCs w:val="32"/>
        </w:rPr>
        <w:t>（九）发展与各地红十字会之间的友好交住，开展人道领域方面的技术交流与合作。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十）兴办符合红十字宗旨的社会福利事业和经济实体。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color w:val="000000"/>
          <w:kern w:val="0"/>
          <w:sz w:val="32"/>
          <w:szCs w:val="32"/>
        </w:rPr>
        <w:t>（十一）承办县政府交办的其他事项。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（二）内设机构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本部门2020年单位内设2个股室，包括：业务办公室、综合办公室。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二、部门决算单位构成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纳入2020年本部门决算编制范围的单位共1个，包括本级所属1个二级预算单位：</w:t>
      </w:r>
    </w:p>
    <w:tbl>
      <w:tblPr>
        <w:tblStyle w:val="8"/>
        <w:tblW w:w="7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4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5682"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477"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5682"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textAlignment w:val="auto"/>
              <w:rPr>
                <w:rFonts w:hint="eastAsia" w:ascii="宋体" w:hAnsi="宋体" w:eastAsia="宋体" w:cs="宋体"/>
                <w:sz w:val="24"/>
                <w:szCs w:val="24"/>
              </w:rPr>
            </w:pPr>
            <w:r>
              <w:rPr>
                <w:rFonts w:hint="eastAsia" w:ascii="宋体" w:hAnsi="宋体" w:eastAsia="宋体" w:cs="宋体"/>
                <w:sz w:val="24"/>
                <w:szCs w:val="24"/>
              </w:rPr>
              <w:t>镇安县红十字会</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三、部门人员情况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截止2020年底，本部门人员编制5人，其中行政编制0人、事业编制5人；单位实有人员8人，其中行政0人、事业5人，合同制工勤人员2人，单位管理的离退休人员1人，其中：离休人员0人。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部门人员编制情况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b/>
          <w:color w:val="000000"/>
          <w:kern w:val="0"/>
          <w:sz w:val="30"/>
          <w:szCs w:val="30"/>
        </w:rPr>
      </w:pPr>
      <w:r>
        <w:rPr>
          <w:rFonts w:ascii="仿宋" w:hAnsi="仿宋" w:eastAsia="仿宋" w:cs="仿宋"/>
          <w:b/>
          <w:color w:val="000000"/>
          <w:kern w:val="0"/>
          <w:sz w:val="30"/>
          <w:szCs w:val="30"/>
        </w:rPr>
        <w:object>
          <v:shape id="_x0000_i1025" o:spt="75" alt="" type="#_x0000_t75" style="height:226.55pt;width:434.95pt;" o:ole="t" filled="f" o:preferrelative="t" stroked="f" coordsize="21600,21600" o:gfxdata="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">
            <v:path/>
            <v:fill on="f" focussize="0,0"/>
            <v:stroke on="f"/>
            <v:imagedata r:id="rId7" o:title=""/>
            <o:lock v:ext="edit" aspectratio="f"/>
            <w10:wrap type="none"/>
            <w10:anchorlock/>
          </v:shape>
          <o:OLEObject Type="Embed" ProgID="Excel.Sheet.8" ShapeID="_x0000_i1025" DrawAspect="Content" ObjectID="_1468075725" r:id="rId6">
            <o:LockedField>false</o:LockedField>
          </o:OLEObject>
        </w:objec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 xml:space="preserve">（二）部门实有人员情况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_GB2312" w:hAnsi="楷体_GB2312" w:eastAsia="楷体_GB2312" w:cs="楷体_GB2312"/>
          <w:b w:val="0"/>
          <w:bCs w:val="0"/>
          <w:sz w:val="32"/>
          <w:szCs w:val="32"/>
          <w:lang w:eastAsia="zh-CN"/>
        </w:rPr>
      </w:pPr>
      <w:r>
        <w:drawing>
          <wp:inline distT="0" distB="0" distL="114300" distR="114300">
            <wp:extent cx="4262120" cy="3200400"/>
            <wp:effectExtent l="4445" t="4445" r="19685" b="14605"/>
            <wp:docPr id="102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楷体_GB2312" w:hAnsi="楷体_GB2312" w:eastAsia="楷体_GB2312" w:cs="楷体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仿宋" w:hAnsi="仿宋" w:eastAsia="仿宋" w:cs="仿宋"/>
          <w:b/>
          <w:color w:val="000000"/>
          <w:kern w:val="0"/>
          <w:sz w:val="30"/>
          <w:szCs w:val="30"/>
        </w:rPr>
      </w:pPr>
    </w:p>
    <w:p>
      <w:pPr>
        <w:spacing w:line="540" w:lineRule="exact"/>
        <w:rPr>
          <w:rFonts w:ascii="仿宋" w:hAnsi="仿宋" w:eastAsia="仿宋" w:cs="仿宋"/>
          <w:b/>
          <w:color w:val="000000"/>
          <w:kern w:val="0"/>
          <w:sz w:val="30"/>
          <w:szCs w:val="30"/>
        </w:rPr>
      </w:pPr>
    </w:p>
    <w:p>
      <w:pPr>
        <w:rPr>
          <w:rFonts w:hint="eastAsia" w:ascii="仿宋" w:hAnsi="仿宋" w:eastAsia="仿宋" w:cs="仿宋"/>
          <w:sz w:val="30"/>
          <w:szCs w:val="30"/>
        </w:rPr>
      </w:pPr>
      <w:r>
        <w:rPr>
          <w:rFonts w:hint="eastAsia" w:ascii="仿宋" w:hAnsi="仿宋" w:eastAsia="仿宋" w:cs="仿宋"/>
          <w:sz w:val="30"/>
          <w:szCs w:val="30"/>
        </w:rPr>
        <w:br w:type="page"/>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spacing w:line="240" w:lineRule="exact"/>
        <w:jc w:val="center"/>
        <w:rPr>
          <w:rFonts w:ascii="仿宋" w:hAnsi="仿宋" w:eastAsia="仿宋" w:cs="仿宋"/>
          <w:sz w:val="30"/>
          <w:szCs w:val="30"/>
        </w:rPr>
      </w:pPr>
    </w:p>
    <w:tbl>
      <w:tblPr>
        <w:tblStyle w:val="8"/>
        <w:tblW w:w="9017"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4081"/>
        <w:gridCol w:w="79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408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内容</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是否空表</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表1</w:t>
            </w:r>
          </w:p>
        </w:tc>
        <w:tc>
          <w:tcPr>
            <w:tcW w:w="408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收入支出决算总表</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表2</w:t>
            </w:r>
          </w:p>
        </w:tc>
        <w:tc>
          <w:tcPr>
            <w:tcW w:w="408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收入决算表</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表3</w:t>
            </w:r>
          </w:p>
        </w:tc>
        <w:tc>
          <w:tcPr>
            <w:tcW w:w="408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支出决算表</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表4</w:t>
            </w:r>
          </w:p>
        </w:tc>
        <w:tc>
          <w:tcPr>
            <w:tcW w:w="408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财政拨款收入支出决算总表</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表5</w:t>
            </w:r>
          </w:p>
        </w:tc>
        <w:tc>
          <w:tcPr>
            <w:tcW w:w="408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一般公共预算财政拨款支出决算表（按功能分类科目）</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表6</w:t>
            </w:r>
          </w:p>
        </w:tc>
        <w:tc>
          <w:tcPr>
            <w:tcW w:w="408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一般公共预算财政拨款基本支出决算表（按经济分类科目）</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表7</w:t>
            </w:r>
          </w:p>
        </w:tc>
        <w:tc>
          <w:tcPr>
            <w:tcW w:w="408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一般公共预算财政拨款“三公”经费及会议费、培训费支出决算表</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表8</w:t>
            </w:r>
          </w:p>
        </w:tc>
        <w:tc>
          <w:tcPr>
            <w:tcW w:w="408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政府性基金预算财政拨款收入支出决算表</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是</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本部门本年度无政府基金收支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1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表9</w:t>
            </w:r>
          </w:p>
        </w:tc>
        <w:tc>
          <w:tcPr>
            <w:tcW w:w="408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政府国有资本经营财政拨款收入支出决算表</w:t>
            </w:r>
          </w:p>
        </w:tc>
        <w:tc>
          <w:tcPr>
            <w:tcW w:w="798"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是</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本部门本年度无政府国有资本经营财政拨款收支</w:t>
            </w:r>
          </w:p>
        </w:tc>
      </w:tr>
    </w:tbl>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仿宋" w:hAnsi="仿宋" w:eastAsia="仿宋" w:cs="仿宋"/>
          <w:sz w:val="30"/>
          <w:szCs w:val="30"/>
        </w:rPr>
        <w:br w:type="page"/>
      </w:r>
      <w:r>
        <w:rPr>
          <w:rFonts w:hint="eastAsia" w:ascii="方正小标宋简体" w:hAnsi="方正小标宋简体" w:eastAsia="方正小标宋简体" w:cs="方正小标宋简体"/>
          <w:sz w:val="36"/>
          <w:szCs w:val="36"/>
        </w:rPr>
        <w:t>收入支出决算总表</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sz w:val="20"/>
          <w:szCs w:val="20"/>
        </w:rPr>
        <w:t xml:space="preserve">                                          </w:t>
      </w:r>
      <w:r>
        <w:rPr>
          <w:rFonts w:hint="eastAsia" w:ascii="宋体" w:hAnsi="宋体" w:eastAsia="宋体" w:cs="宋体"/>
          <w:b/>
          <w:bCs/>
          <w:sz w:val="20"/>
          <w:szCs w:val="20"/>
        </w:rPr>
        <w:t>公开01表</w:t>
      </w:r>
    </w:p>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编制部门：镇安县红十字会                     金额单位：万元</w:t>
      </w:r>
    </w:p>
    <w:tbl>
      <w:tblPr>
        <w:tblStyle w:val="8"/>
        <w:tblW w:w="8800"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1132"/>
        <w:gridCol w:w="3402"/>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251"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4549"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72.73</w:t>
            </w: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4、上级补助收入</w:t>
            </w: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4、公共安全支出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5、事业收入</w:t>
            </w: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6、经营收入</w:t>
            </w: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6、科学技术支出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8、其他收入</w:t>
            </w: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11、城乡社区支出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12、农林水支出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13、交通运输支出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22、其他支出</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72.73</w:t>
            </w: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结余分配</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年初结转和结余</w:t>
            </w: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2.09</w:t>
            </w: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年末结转和结余</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11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11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74.82</w:t>
            </w:r>
          </w:p>
        </w:tc>
        <w:tc>
          <w:tcPr>
            <w:tcW w:w="34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14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74.82</w:t>
            </w:r>
          </w:p>
        </w:tc>
      </w:tr>
    </w:tbl>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bCs/>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注：本表反映部门本年度的总收支和年末结转结余情况。本表金额转换为万元时，因四舍五入可能存在尾差。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收入决算表</w:t>
      </w:r>
    </w:p>
    <w:p>
      <w:pPr>
        <w:keepNext w:val="0"/>
        <w:keepLines w:val="0"/>
        <w:pageBreakBefore w:val="0"/>
        <w:kinsoku/>
        <w:wordWrap/>
        <w:overflowPunct/>
        <w:topLinePunct w:val="0"/>
        <w:autoSpaceDE/>
        <w:autoSpaceDN/>
        <w:bidi w:val="0"/>
        <w:adjustRightInd/>
        <w:snapToGrid/>
        <w:spacing w:line="30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编制部门：镇安县红十字会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546"/>
        <w:gridCol w:w="982"/>
        <w:gridCol w:w="843"/>
        <w:gridCol w:w="841"/>
        <w:gridCol w:w="702"/>
        <w:gridCol w:w="843"/>
        <w:gridCol w:w="657"/>
        <w:gridCol w:w="898"/>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881"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982"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本年收入合计</w:t>
            </w:r>
          </w:p>
        </w:tc>
        <w:tc>
          <w:tcPr>
            <w:tcW w:w="843"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财政拨款收入</w:t>
            </w:r>
          </w:p>
        </w:tc>
        <w:tc>
          <w:tcPr>
            <w:tcW w:w="841"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上级补助收入</w:t>
            </w:r>
          </w:p>
        </w:tc>
        <w:tc>
          <w:tcPr>
            <w:tcW w:w="1545"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657"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898"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899"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33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54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82"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84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84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7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84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657"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898"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899"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881"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sz w:val="20"/>
                <w:szCs w:val="20"/>
              </w:rPr>
              <w:t>72.73</w:t>
            </w:r>
          </w:p>
        </w:tc>
        <w:tc>
          <w:tcPr>
            <w:tcW w:w="84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sz w:val="20"/>
                <w:szCs w:val="20"/>
              </w:rPr>
              <w:t>72.73</w:t>
            </w:r>
          </w:p>
        </w:tc>
        <w:tc>
          <w:tcPr>
            <w:tcW w:w="8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7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84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65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89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89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335"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w:t>
            </w:r>
          </w:p>
        </w:tc>
        <w:tc>
          <w:tcPr>
            <w:tcW w:w="154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社会保障和就业支出</w:t>
            </w:r>
          </w:p>
        </w:tc>
        <w:tc>
          <w:tcPr>
            <w:tcW w:w="9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72.73</w:t>
            </w:r>
          </w:p>
        </w:tc>
        <w:tc>
          <w:tcPr>
            <w:tcW w:w="84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72.73</w:t>
            </w:r>
          </w:p>
        </w:tc>
        <w:tc>
          <w:tcPr>
            <w:tcW w:w="8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4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65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9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9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335"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20811</w:t>
            </w:r>
          </w:p>
        </w:tc>
        <w:tc>
          <w:tcPr>
            <w:tcW w:w="154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残疾人事业</w:t>
            </w:r>
          </w:p>
        </w:tc>
        <w:tc>
          <w:tcPr>
            <w:tcW w:w="9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4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4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65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9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9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335"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2081101</w:t>
            </w:r>
          </w:p>
        </w:tc>
        <w:tc>
          <w:tcPr>
            <w:tcW w:w="154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行政运行</w:t>
            </w:r>
          </w:p>
        </w:tc>
        <w:tc>
          <w:tcPr>
            <w:tcW w:w="9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4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4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65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9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9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335"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20816</w:t>
            </w:r>
          </w:p>
        </w:tc>
        <w:tc>
          <w:tcPr>
            <w:tcW w:w="154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红十字事业</w:t>
            </w:r>
          </w:p>
        </w:tc>
        <w:tc>
          <w:tcPr>
            <w:tcW w:w="9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72.73</w:t>
            </w:r>
          </w:p>
        </w:tc>
        <w:tc>
          <w:tcPr>
            <w:tcW w:w="84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72.73</w:t>
            </w:r>
          </w:p>
        </w:tc>
        <w:tc>
          <w:tcPr>
            <w:tcW w:w="8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4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65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9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9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335"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2081601</w:t>
            </w:r>
          </w:p>
        </w:tc>
        <w:tc>
          <w:tcPr>
            <w:tcW w:w="154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行政运行</w:t>
            </w:r>
          </w:p>
        </w:tc>
        <w:tc>
          <w:tcPr>
            <w:tcW w:w="9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72.73</w:t>
            </w:r>
          </w:p>
        </w:tc>
        <w:tc>
          <w:tcPr>
            <w:tcW w:w="84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72.73</w:t>
            </w:r>
          </w:p>
        </w:tc>
        <w:tc>
          <w:tcPr>
            <w:tcW w:w="8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0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4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65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9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9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kinsoku/>
        <w:wordWrap/>
        <w:overflowPunct/>
        <w:topLinePunct w:val="0"/>
        <w:autoSpaceDE/>
        <w:autoSpaceDN/>
        <w:bidi w:val="0"/>
        <w:adjustRightInd/>
        <w:snapToGrid/>
        <w:spacing w:line="30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编制部门：镇安县红十字会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2425"/>
        <w:gridCol w:w="937"/>
        <w:gridCol w:w="790"/>
        <w:gridCol w:w="785"/>
        <w:gridCol w:w="794"/>
        <w:gridCol w:w="813"/>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841"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937"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790"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785"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794"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813"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经营支出</w:t>
            </w:r>
          </w:p>
        </w:tc>
        <w:tc>
          <w:tcPr>
            <w:tcW w:w="996"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功能科目</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编码</w:t>
            </w:r>
          </w:p>
        </w:tc>
        <w:tc>
          <w:tcPr>
            <w:tcW w:w="242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37"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79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785"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79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81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996"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841"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3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9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8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9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9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1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w:t>
            </w:r>
          </w:p>
        </w:tc>
        <w:tc>
          <w:tcPr>
            <w:tcW w:w="2425"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社会保障和就业支出</w:t>
            </w:r>
          </w:p>
        </w:tc>
        <w:tc>
          <w:tcPr>
            <w:tcW w:w="93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74.71</w:t>
            </w:r>
          </w:p>
        </w:tc>
        <w:tc>
          <w:tcPr>
            <w:tcW w:w="79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74.71</w:t>
            </w:r>
          </w:p>
        </w:tc>
        <w:tc>
          <w:tcPr>
            <w:tcW w:w="78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9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9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1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20811</w:t>
            </w:r>
          </w:p>
        </w:tc>
        <w:tc>
          <w:tcPr>
            <w:tcW w:w="2425"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残疾人事业</w:t>
            </w:r>
          </w:p>
        </w:tc>
        <w:tc>
          <w:tcPr>
            <w:tcW w:w="93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9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8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9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9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1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2081101</w:t>
            </w:r>
          </w:p>
        </w:tc>
        <w:tc>
          <w:tcPr>
            <w:tcW w:w="2425"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行政运行</w:t>
            </w:r>
          </w:p>
        </w:tc>
        <w:tc>
          <w:tcPr>
            <w:tcW w:w="93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9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8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9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9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1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20816</w:t>
            </w:r>
          </w:p>
        </w:tc>
        <w:tc>
          <w:tcPr>
            <w:tcW w:w="2425"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红十字事业</w:t>
            </w:r>
          </w:p>
        </w:tc>
        <w:tc>
          <w:tcPr>
            <w:tcW w:w="93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74.71</w:t>
            </w:r>
          </w:p>
        </w:tc>
        <w:tc>
          <w:tcPr>
            <w:tcW w:w="79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74.71</w:t>
            </w:r>
          </w:p>
        </w:tc>
        <w:tc>
          <w:tcPr>
            <w:tcW w:w="78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9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9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1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2081601</w:t>
            </w:r>
          </w:p>
        </w:tc>
        <w:tc>
          <w:tcPr>
            <w:tcW w:w="2425"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行政运行</w:t>
            </w:r>
          </w:p>
        </w:tc>
        <w:tc>
          <w:tcPr>
            <w:tcW w:w="93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74.71</w:t>
            </w:r>
          </w:p>
        </w:tc>
        <w:tc>
          <w:tcPr>
            <w:tcW w:w="79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74.71</w:t>
            </w:r>
          </w:p>
        </w:tc>
        <w:tc>
          <w:tcPr>
            <w:tcW w:w="78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9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9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kinsoku/>
        <w:wordWrap/>
        <w:overflowPunct/>
        <w:topLinePunct w:val="0"/>
        <w:autoSpaceDE/>
        <w:autoSpaceDN/>
        <w:bidi w:val="0"/>
        <w:adjustRightInd/>
        <w:snapToGrid/>
        <w:spacing w:line="30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编制部门：镇安县红十字会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9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267"/>
        <w:gridCol w:w="2471"/>
        <w:gridCol w:w="644"/>
        <w:gridCol w:w="1588"/>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3291"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6312" w:type="dxa"/>
            <w:gridSpan w:val="4"/>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72.73</w:t>
            </w: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74.71</w:t>
            </w: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2.09</w:t>
            </w: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0.11</w:t>
            </w: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jc w:val="center"/>
        </w:trPr>
        <w:tc>
          <w:tcPr>
            <w:tcW w:w="2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126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74.82</w:t>
            </w:r>
          </w:p>
        </w:tc>
        <w:tc>
          <w:tcPr>
            <w:tcW w:w="247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6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5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74.82</w:t>
            </w:r>
          </w:p>
        </w:tc>
        <w:tc>
          <w:tcPr>
            <w:tcW w:w="160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一般公共预算财政拨款支出决算表（按功能分类科目）</w:t>
      </w:r>
    </w:p>
    <w:p>
      <w:pPr>
        <w:keepNext w:val="0"/>
        <w:keepLines w:val="0"/>
        <w:pageBreakBefore w:val="0"/>
        <w:kinsoku/>
        <w:wordWrap/>
        <w:overflowPunct/>
        <w:topLinePunct w:val="0"/>
        <w:autoSpaceDE/>
        <w:autoSpaceDN/>
        <w:bidi w:val="0"/>
        <w:adjustRightInd/>
        <w:snapToGrid/>
        <w:spacing w:line="30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编制部门：镇安县红十字会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pPr w:leftFromText="180" w:rightFromText="180" w:vertAnchor="text" w:horzAnchor="page" w:tblpXSpec="center" w:tblpY="75"/>
        <w:tblOverlap w:val="never"/>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629"/>
        <w:gridCol w:w="1032"/>
        <w:gridCol w:w="1024"/>
        <w:gridCol w:w="1111"/>
        <w:gridCol w:w="1063"/>
        <w:gridCol w:w="845"/>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51" w:hRule="atLeast"/>
          <w:jc w:val="center"/>
        </w:trPr>
        <w:tc>
          <w:tcPr>
            <w:tcW w:w="3116"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032"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3198" w:type="dxa"/>
            <w:gridSpan w:val="3"/>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845"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项目</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706"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8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62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32"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1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06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845" w:type="dxa"/>
            <w:vMerge w:val="continue"/>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706" w:type="dxa"/>
            <w:vMerge w:val="continue"/>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116"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11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06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84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70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8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w:t>
            </w:r>
          </w:p>
        </w:tc>
        <w:tc>
          <w:tcPr>
            <w:tcW w:w="162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社会保障和就业支出</w:t>
            </w:r>
          </w:p>
        </w:tc>
        <w:tc>
          <w:tcPr>
            <w:tcW w:w="10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74.71</w:t>
            </w:r>
          </w:p>
        </w:tc>
        <w:tc>
          <w:tcPr>
            <w:tcW w:w="1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74.71</w:t>
            </w:r>
          </w:p>
        </w:tc>
        <w:tc>
          <w:tcPr>
            <w:tcW w:w="111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48.16</w:t>
            </w:r>
          </w:p>
        </w:tc>
        <w:tc>
          <w:tcPr>
            <w:tcW w:w="106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26.55</w:t>
            </w:r>
          </w:p>
        </w:tc>
        <w:tc>
          <w:tcPr>
            <w:tcW w:w="84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70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8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20811</w:t>
            </w:r>
          </w:p>
        </w:tc>
        <w:tc>
          <w:tcPr>
            <w:tcW w:w="162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残疾人事业</w:t>
            </w:r>
          </w:p>
        </w:tc>
        <w:tc>
          <w:tcPr>
            <w:tcW w:w="10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11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06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84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70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8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2081101</w:t>
            </w:r>
          </w:p>
        </w:tc>
        <w:tc>
          <w:tcPr>
            <w:tcW w:w="162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行政运行</w:t>
            </w:r>
          </w:p>
        </w:tc>
        <w:tc>
          <w:tcPr>
            <w:tcW w:w="10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11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06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84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70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8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20816</w:t>
            </w:r>
          </w:p>
        </w:tc>
        <w:tc>
          <w:tcPr>
            <w:tcW w:w="162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红十字事业</w:t>
            </w:r>
          </w:p>
        </w:tc>
        <w:tc>
          <w:tcPr>
            <w:tcW w:w="10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74.71</w:t>
            </w:r>
          </w:p>
        </w:tc>
        <w:tc>
          <w:tcPr>
            <w:tcW w:w="1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74.71</w:t>
            </w:r>
          </w:p>
        </w:tc>
        <w:tc>
          <w:tcPr>
            <w:tcW w:w="111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48.16</w:t>
            </w:r>
          </w:p>
        </w:tc>
        <w:tc>
          <w:tcPr>
            <w:tcW w:w="106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26.55</w:t>
            </w:r>
          </w:p>
        </w:tc>
        <w:tc>
          <w:tcPr>
            <w:tcW w:w="84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70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48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2081601</w:t>
            </w:r>
          </w:p>
        </w:tc>
        <w:tc>
          <w:tcPr>
            <w:tcW w:w="162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行政运行</w:t>
            </w:r>
          </w:p>
        </w:tc>
        <w:tc>
          <w:tcPr>
            <w:tcW w:w="103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74.71</w:t>
            </w:r>
          </w:p>
        </w:tc>
        <w:tc>
          <w:tcPr>
            <w:tcW w:w="102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74.71</w:t>
            </w:r>
          </w:p>
        </w:tc>
        <w:tc>
          <w:tcPr>
            <w:tcW w:w="111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48.16</w:t>
            </w:r>
          </w:p>
        </w:tc>
        <w:tc>
          <w:tcPr>
            <w:tcW w:w="106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26.55</w:t>
            </w:r>
          </w:p>
        </w:tc>
        <w:tc>
          <w:tcPr>
            <w:tcW w:w="84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70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bl>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一般公共预算财政拨款基本支出决算表（按经济分类科目）</w:t>
      </w:r>
    </w:p>
    <w:p>
      <w:pPr>
        <w:keepNext w:val="0"/>
        <w:keepLines w:val="0"/>
        <w:pageBreakBefore w:val="0"/>
        <w:kinsoku/>
        <w:wordWrap/>
        <w:overflowPunct/>
        <w:topLinePunct w:val="0"/>
        <w:autoSpaceDE/>
        <w:autoSpaceDN/>
        <w:bidi w:val="0"/>
        <w:adjustRightInd/>
        <w:snapToGrid/>
        <w:spacing w:line="30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公开06表</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编制部门：镇安县红十字会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pPr w:leftFromText="180" w:rightFromText="180" w:vertAnchor="text" w:horzAnchor="page" w:tblpXSpec="center" w:tblpY="31"/>
        <w:tblOverlap w:val="never"/>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2896"/>
        <w:gridCol w:w="1112"/>
        <w:gridCol w:w="1382"/>
        <w:gridCol w:w="149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593"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12"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1382"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496"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816"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697"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经济分类科目</w:t>
            </w:r>
          </w:p>
        </w:tc>
        <w:tc>
          <w:tcPr>
            <w:tcW w:w="28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112"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382"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496"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816"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4593"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74.71</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48.16</w:t>
            </w: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26.55</w:t>
            </w: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301</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工资福利支出</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48.07</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48.07</w:t>
            </w: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30101</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基本工资</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w:t>
            </w: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30102</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津贴补贴</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14.06</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14.06</w:t>
            </w: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30103</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奖金</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w:t>
            </w: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30107</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绩效工资</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4.57</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4.57</w:t>
            </w: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30108</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机关事业单位基本养老保险缴</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5.95</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5.95</w:t>
            </w: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30109</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职业年金缴费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30110</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职工基本医疗保险缴费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30112</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其他社会保障缴费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30113</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住房公积金</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30199</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其他工资福利支出</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302</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商品和服务支出</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26.55</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26.55</w:t>
            </w: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30201</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办公费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5.01</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5.01</w:t>
            </w: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30202</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印刷费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0.67</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0.67</w:t>
            </w: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30205</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水费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30206</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电费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30207</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邮电费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30211</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差旅费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4.82</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4.82</w:t>
            </w: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30213</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维修（护）费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30214</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业务委托费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13.99</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13.99</w:t>
            </w: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30217</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公务接待费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30226</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劳务费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30228</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工会经费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1.33</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1.33</w:t>
            </w: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30231</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公车运行维护费</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30239</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其他交通费用</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0.73</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0.73</w:t>
            </w: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30299</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其他商品和服务支出</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30305</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生活补助</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697"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30309</w:t>
            </w:r>
          </w:p>
        </w:tc>
        <w:tc>
          <w:tcPr>
            <w:tcW w:w="289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医疗费补助</w:t>
            </w:r>
          </w:p>
        </w:tc>
        <w:tc>
          <w:tcPr>
            <w:tcW w:w="111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0.09</w:t>
            </w:r>
          </w:p>
        </w:tc>
        <w:tc>
          <w:tcPr>
            <w:tcW w:w="1382"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0.09</w:t>
            </w:r>
          </w:p>
        </w:tc>
        <w:tc>
          <w:tcPr>
            <w:tcW w:w="149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1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一般公共预算财政拨款“三公”经费及会议费、培训费</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kinsoku/>
        <w:wordWrap/>
        <w:overflowPunct/>
        <w:topLinePunct w:val="0"/>
        <w:autoSpaceDE/>
        <w:autoSpaceDN/>
        <w:bidi w:val="0"/>
        <w:adjustRightInd/>
        <w:snapToGrid/>
        <w:spacing w:line="30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编制部门：镇安县红十字会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818"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088"/>
        <w:gridCol w:w="969"/>
        <w:gridCol w:w="1073"/>
        <w:gridCol w:w="700"/>
        <w:gridCol w:w="1228"/>
        <w:gridCol w:w="1006"/>
        <w:gridCol w:w="1000"/>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60"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6064" w:type="dxa"/>
            <w:gridSpan w:val="6"/>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100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89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6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0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小</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计</w:t>
            </w:r>
          </w:p>
        </w:tc>
        <w:tc>
          <w:tcPr>
            <w:tcW w:w="96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107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公务接</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待费</w:t>
            </w:r>
          </w:p>
        </w:tc>
        <w:tc>
          <w:tcPr>
            <w:tcW w:w="70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小</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计</w:t>
            </w:r>
          </w:p>
        </w:tc>
        <w:tc>
          <w:tcPr>
            <w:tcW w:w="122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100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100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会议费</w:t>
            </w:r>
          </w:p>
        </w:tc>
        <w:tc>
          <w:tcPr>
            <w:tcW w:w="89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6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96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7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70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22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0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0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9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6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预算数</w:t>
            </w:r>
          </w:p>
        </w:tc>
        <w:tc>
          <w:tcPr>
            <w:tcW w:w="10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0.6</w:t>
            </w:r>
          </w:p>
        </w:tc>
        <w:tc>
          <w:tcPr>
            <w:tcW w:w="96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7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0.6</w:t>
            </w:r>
          </w:p>
        </w:tc>
        <w:tc>
          <w:tcPr>
            <w:tcW w:w="70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22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0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0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9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6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08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6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73"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70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228"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0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0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89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编制部门：镇安县红十字会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049"/>
        <w:gridCol w:w="1076"/>
        <w:gridCol w:w="1141"/>
        <w:gridCol w:w="1141"/>
        <w:gridCol w:w="1141"/>
        <w:gridCol w:w="1145"/>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229"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76"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41"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27" w:type="dxa"/>
            <w:gridSpan w:val="3"/>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44" w:type="dxa"/>
            <w:vMerge w:val="restart"/>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18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6"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141"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4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44" w:type="dxa"/>
            <w:vMerge w:val="continue"/>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229"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7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14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0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8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4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7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4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8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4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7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4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80"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49"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76"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41"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45"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44" w:type="dxa"/>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kinsoku/>
        <w:wordWrap/>
        <w:overflowPunct/>
        <w:topLinePunct w:val="0"/>
        <w:autoSpaceDE/>
        <w:autoSpaceDN/>
        <w:bidi w:val="0"/>
        <w:adjustRightInd/>
        <w:snapToGrid/>
        <w:spacing w:line="30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编制部门：镇安县红十字会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036"/>
        <w:gridCol w:w="1063"/>
        <w:gridCol w:w="1126"/>
        <w:gridCol w:w="1126"/>
        <w:gridCol w:w="1126"/>
        <w:gridCol w:w="1128"/>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1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6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38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3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科目</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名称</w:t>
            </w:r>
          </w:p>
        </w:tc>
        <w:tc>
          <w:tcPr>
            <w:tcW w:w="1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Cs/>
                <w:sz w:val="20"/>
                <w:szCs w:val="20"/>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Cs/>
                <w:sz w:val="20"/>
                <w:szCs w:val="20"/>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1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shd w:val="clear" w:color="auto" w:fill="FFFFFF"/>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p>
    <w:p>
      <w:pPr>
        <w:keepNext w:val="0"/>
        <w:keepLines w:val="0"/>
        <w:pageBreakBefore w:val="0"/>
        <w:shd w:val="clear" w:color="auto" w:fill="FFFFFF"/>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注：本表反映部门本年度国有资本经营预算财政拨款支出情况，本部门本年无度国有资本经营预算财政拨款支出。</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0"/>
          <w:szCs w:val="20"/>
        </w:rPr>
      </w:pPr>
    </w:p>
    <w:p>
      <w:pPr>
        <w:jc w:val="center"/>
        <w:rPr>
          <w:rFonts w:ascii="仿宋" w:hAnsi="仿宋" w:eastAsia="仿宋" w:cs="仿宋"/>
          <w:sz w:val="30"/>
          <w:szCs w:val="30"/>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第三部分  2020年部门决算情况说明</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2020年收入72.73万元，较2019年75.71万元减少2.98万元，</w:t>
      </w:r>
      <w:r>
        <w:rPr>
          <w:rFonts w:hint="eastAsia" w:ascii="仿宋_GB2312" w:hAnsi="仿宋_GB2312" w:eastAsia="仿宋_GB2312" w:cs="仿宋_GB2312"/>
          <w:color w:val="000000"/>
          <w:kern w:val="0"/>
          <w:sz w:val="32"/>
          <w:szCs w:val="32"/>
        </w:rPr>
        <w:t>减幅4.09%，主要原因是单位人员调出一人；本年度支出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74.71万元，较2019年75.52万元减少0.81万元，</w:t>
      </w:r>
      <w:r>
        <w:rPr>
          <w:rFonts w:hint="eastAsia" w:ascii="仿宋_GB2312" w:hAnsi="仿宋_GB2312" w:eastAsia="仿宋_GB2312" w:cs="仿宋_GB2312"/>
          <w:color w:val="000000"/>
          <w:kern w:val="0"/>
          <w:sz w:val="32"/>
          <w:szCs w:val="32"/>
        </w:rPr>
        <w:t>减幅1.08%，主要原因是单位人员减少，支出减少。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2019年、2020年收支对比图：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drawing>
          <wp:inline distT="0" distB="0" distL="0" distR="0">
            <wp:extent cx="5707380" cy="38481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2020年收入72.73万元，其中：一般公共预算财政拨款收入72.73万元，占总收入100%；上年结转和结余2.09万元，为上年度尚未列支，结转到本年仍按原规定用途继续使用的资金。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2020年收入结构图：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drawing>
          <wp:inline distT="0" distB="0" distL="0" distR="0">
            <wp:extent cx="5668010" cy="3526790"/>
            <wp:effectExtent l="0" t="0" r="0" b="0"/>
            <wp:docPr id="2"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2020年本年度支出74.71万元，其中：基本支出74.71万元，占总支出100%；年末结转结余0.11万元，主要是本年度预算安排，因客观条件发生变化无法按原计划实施，需延迟到以后年度按原规定用途继续使用的资金。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2020年支出结构图：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drawing>
          <wp:inline distT="0" distB="0" distL="0" distR="0">
            <wp:extent cx="4958080" cy="2858770"/>
            <wp:effectExtent l="0" t="0" r="0" b="0"/>
            <wp:docPr id="3"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color w:val="000000"/>
          <w:kern w:val="0"/>
          <w:sz w:val="32"/>
          <w:szCs w:val="32"/>
        </w:rPr>
        <w:t>财政拨款收入</w:t>
      </w:r>
      <w:r>
        <w:rPr>
          <w:rFonts w:hint="eastAsia" w:ascii="仿宋_GB2312" w:hAnsi="仿宋_GB2312" w:eastAsia="仿宋_GB2312" w:cs="仿宋_GB2312"/>
          <w:color w:val="000000"/>
          <w:kern w:val="0"/>
          <w:sz w:val="32"/>
          <w:szCs w:val="32"/>
        </w:rPr>
        <w:t>72.73万元，</w:t>
      </w:r>
      <w:r>
        <w:rPr>
          <w:rFonts w:hint="eastAsia" w:ascii="仿宋_GB2312" w:hAnsi="仿宋_GB2312" w:eastAsia="仿宋_GB2312" w:cs="仿宋_GB2312"/>
          <w:color w:val="000000"/>
          <w:kern w:val="0"/>
          <w:sz w:val="32"/>
          <w:szCs w:val="32"/>
        </w:rPr>
        <w:t>较201</w:t>
      </w:r>
      <w:r>
        <w:rPr>
          <w:rFonts w:hint="eastAsia" w:ascii="仿宋_GB2312" w:hAnsi="仿宋_GB2312" w:eastAsia="仿宋_GB2312" w:cs="仿宋_GB2312"/>
          <w:color w:val="000000"/>
          <w:kern w:val="0"/>
          <w:sz w:val="32"/>
          <w:szCs w:val="32"/>
        </w:rPr>
        <w:t>9年</w:t>
      </w:r>
      <w:r>
        <w:rPr>
          <w:rFonts w:hint="eastAsia" w:ascii="仿宋_GB2312" w:hAnsi="仿宋_GB2312" w:eastAsia="仿宋_GB2312" w:cs="仿宋_GB2312"/>
          <w:color w:val="000000"/>
          <w:kern w:val="0"/>
          <w:sz w:val="32"/>
          <w:szCs w:val="32"/>
        </w:rPr>
        <w:t>75.71万元</w:t>
      </w:r>
      <w:r>
        <w:rPr>
          <w:rFonts w:hint="eastAsia" w:ascii="仿宋_GB2312" w:hAnsi="仿宋_GB2312" w:eastAsia="仿宋_GB2312" w:cs="仿宋_GB2312"/>
          <w:color w:val="000000"/>
          <w:kern w:val="0"/>
          <w:sz w:val="32"/>
          <w:szCs w:val="32"/>
        </w:rPr>
        <w:t>减少2.98万元</w:t>
      </w:r>
      <w:r>
        <w:rPr>
          <w:rFonts w:hint="eastAsia" w:ascii="仿宋_GB2312" w:hAnsi="仿宋_GB2312" w:eastAsia="仿宋_GB2312" w:cs="仿宋_GB2312"/>
          <w:color w:val="000000"/>
          <w:kern w:val="0"/>
          <w:sz w:val="32"/>
          <w:szCs w:val="32"/>
        </w:rPr>
        <w:t>，减幅4.09%，主要原因是单位人员调出一人；本年度支出74.71万元，较2019年75.52万元减少0.81万元，</w:t>
      </w:r>
      <w:r>
        <w:rPr>
          <w:rFonts w:hint="eastAsia" w:ascii="仿宋_GB2312" w:hAnsi="仿宋_GB2312" w:eastAsia="仿宋_GB2312" w:cs="仿宋_GB2312"/>
          <w:color w:val="000000"/>
          <w:kern w:val="0"/>
          <w:sz w:val="32"/>
          <w:szCs w:val="32"/>
        </w:rPr>
        <w:t>减幅1.08%，主要原因是单位人员减少，支出减少。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2020年财政拨款收入支出对比图：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drawing>
          <wp:inline distT="0" distB="0" distL="114300" distR="114300">
            <wp:extent cx="5593715" cy="25908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rPr>
        <w:t>财政拨款支出74.71万元，占本年支出合计的100%。与2019年财政拨款支出75.52万元相比，财政拨款支出减少0.81万元，</w:t>
      </w:r>
      <w:r>
        <w:rPr>
          <w:rFonts w:hint="eastAsia" w:ascii="仿宋_GB2312" w:hAnsi="仿宋_GB2312" w:eastAsia="仿宋_GB2312" w:cs="仿宋_GB2312"/>
          <w:color w:val="000000"/>
          <w:kern w:val="0"/>
          <w:sz w:val="32"/>
          <w:szCs w:val="32"/>
        </w:rPr>
        <w:t>减幅1.08%，主要原因是单位人员减少，支出减少。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财政拨款支出对比图：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object>
          <v:shape id="_x0000_i1027" o:spt="75" alt="" type="#_x0000_t75" style="height:235.45pt;width:424pt;" o:ole="t" filled="f" o:preferrelative="t" stroked="f" coordsize="21600,21600">
            <v:path/>
            <v:fill on="f" focussize="0,0"/>
            <v:stroke on="f"/>
            <v:imagedata r:id="rId14" o:title=""/>
            <o:lock v:ext="edit" aspectratio="t"/>
            <w10:wrap type="none"/>
            <w10:anchorlock/>
          </v:shape>
          <o:OLEObject Type="Embed" ProgID="Excel.Sheet.8" ShapeID="_x0000_i1027" DrawAspect="Content" ObjectID="_1468075726" r:id="rId13">
            <o:LockedField>false</o:LockedField>
          </o:OLEObject>
        </w:objec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2020年财政拨款支出年初预算为64.73万元，调整预算为74.82万元，支出决算为74.71万元，完成预算的115%。按照政府功能分类科目分，其中：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1.一般公共服务支出（类）财政事务（款）行政运行（项）。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2020年年初预算为64.73万元，调整预算为74.82万元，支出决算为74.71万元，</w:t>
      </w:r>
      <w:r>
        <w:rPr>
          <w:rFonts w:hint="eastAsia" w:ascii="仿宋_GB2312" w:hAnsi="仿宋_GB2312" w:eastAsia="仿宋_GB2312" w:cs="仿宋_GB2312"/>
          <w:color w:val="000000"/>
          <w:kern w:val="0"/>
          <w:sz w:val="32"/>
          <w:szCs w:val="32"/>
        </w:rPr>
        <w:t>其中：社会保障和就业支出74.71万元，具体构成为：红十字事业74.71万元</w:t>
      </w:r>
      <w:r>
        <w:rPr>
          <w:rFonts w:hint="eastAsia" w:ascii="仿宋_GB2312" w:hAnsi="仿宋_GB2312" w:eastAsia="仿宋_GB2312" w:cs="仿宋_GB2312"/>
          <w:sz w:val="32"/>
          <w:szCs w:val="32"/>
        </w:rPr>
        <w:t>，完成预算的115%。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2020年一般公共预算财政拨款基本支出74.71元，包括：人员经费支出48.16万元和公用经费支出26.55万元。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人员经费支出</w:t>
      </w:r>
      <w:r>
        <w:rPr>
          <w:rFonts w:hint="eastAsia" w:ascii="仿宋_GB2312" w:hAnsi="仿宋_GB2312" w:eastAsia="仿宋_GB2312" w:cs="仿宋_GB2312"/>
          <w:sz w:val="32"/>
          <w:szCs w:val="32"/>
        </w:rPr>
        <w:t>48.16万元，主要包括基本工资20.19万元，津贴补贴14.06万元，奖金3.30万元，绩效工资4.57万元、机关事业单位基本保险养老缴费5.95万元，对个人和家庭支出（工会医疗保险支出）0.09万元。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公用经费支出</w:t>
      </w:r>
      <w:r>
        <w:rPr>
          <w:rFonts w:hint="eastAsia" w:ascii="仿宋_GB2312" w:hAnsi="仿宋_GB2312" w:eastAsia="仿宋_GB2312" w:cs="仿宋_GB2312"/>
          <w:sz w:val="32"/>
          <w:szCs w:val="32"/>
        </w:rPr>
        <w:t>26.55万元，主要包括办公费5.01万元、印刷费0.67万元、工会经费1.33万元、差旅费4.82万元、委托业务费13.99万元、其它交通费0.73万元。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2020年“三公”经费财政拨款支出预算为0.6万元，支出决算为0万元，完成预算的0。决算数较预算数减少0.6万元，主要原因是</w:t>
      </w:r>
      <w:r>
        <w:rPr>
          <w:rFonts w:hint="eastAsia" w:ascii="仿宋_GB2312" w:hAnsi="仿宋_GB2312" w:eastAsia="仿宋_GB2312" w:cs="仿宋_GB2312"/>
          <w:color w:val="000000"/>
          <w:kern w:val="0"/>
          <w:sz w:val="32"/>
          <w:szCs w:val="32"/>
        </w:rPr>
        <w:t>加强对单位“三公经费”支出的管控，减少费用开支。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中，因公出国（境）费支出决算0万元，占“三公”经费总支出0；公务用车购置费支出0万元，占“三公”经费总支出0；公务用车运行维护费支出决算0万元，占“三公”经费总支出0；公务接待费支出决算0万元，占“三公”经费总支出0。具体情况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2020年“三公”经费结构图：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drawing>
          <wp:inline distT="0" distB="0" distL="114300" distR="114300">
            <wp:extent cx="5643245" cy="344487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2020年因公出国（境）团组0个，0人次，预算为0万元，支出决算为0万元，完成预算的100%，决算数较预算数减少0万元。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2.公务用车购置费用支出情况说明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2020年购置车辆0台，预算为0万元，支出决算为0万元，完成预算的100%，决算数较预算数减少0万元。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2020年公务用车运行维护费预算为0万元，支出决算为0万元，完成预算的100%，决算数较预算数减少0万元。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2020年公务接待0批次，0人次，预算为0.6万元，支出决算为0万元，决算数较预算数减少0.6万元。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本年度培训费支出为0万元，上年0万元。原因是本年未安排培训活动。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本年度会议费为0万元,与上年无变化。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本部门2020年度无政府性基金决算收支，并已公开空表。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本部门2020年度无国有资本经营财政拨款收支，并已公开空表。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根据预算绩效管理要求，本部门组织对2020年度一般公共预算基本支出全面开展绩效自评；</w:t>
      </w:r>
      <w:r>
        <w:rPr>
          <w:rFonts w:hint="eastAsia" w:ascii="仿宋_GB2312" w:hAnsi="仿宋_GB2312" w:eastAsia="仿宋_GB2312" w:cs="仿宋_GB2312"/>
          <w:sz w:val="32"/>
          <w:szCs w:val="32"/>
        </w:rPr>
        <w:t>本年度无政府性基金预算项目，</w:t>
      </w:r>
      <w:r>
        <w:rPr>
          <w:rFonts w:hint="eastAsia" w:ascii="仿宋_GB2312" w:hAnsi="仿宋_GB2312" w:eastAsia="仿宋_GB2312" w:cs="仿宋_GB2312"/>
          <w:color w:val="000000"/>
          <w:kern w:val="0"/>
          <w:sz w:val="32"/>
          <w:szCs w:val="32"/>
        </w:rPr>
        <w:t>未对</w:t>
      </w:r>
      <w:r>
        <w:rPr>
          <w:rFonts w:hint="eastAsia" w:ascii="仿宋_GB2312" w:hAnsi="仿宋_GB2312" w:eastAsia="仿宋_GB2312" w:cs="仿宋_GB2312"/>
          <w:sz w:val="32"/>
          <w:szCs w:val="32"/>
        </w:rPr>
        <w:t>政府性基金预算项目</w:t>
      </w:r>
      <w:r>
        <w:rPr>
          <w:rFonts w:hint="eastAsia" w:ascii="仿宋_GB2312" w:hAnsi="仿宋_GB2312" w:eastAsia="仿宋_GB2312" w:cs="仿宋_GB2312"/>
          <w:color w:val="000000"/>
          <w:kern w:val="0"/>
          <w:sz w:val="32"/>
          <w:szCs w:val="32"/>
        </w:rPr>
        <w:t>支出绩效自评。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本单位2020年无项目支出，未对项目支出绩效自评。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p>
    <w:p>
      <w:pPr>
        <w:widowControl/>
        <w:spacing w:line="600" w:lineRule="exact"/>
        <w:ind w:firstLine="600" w:firstLineChars="200"/>
        <w:jc w:val="left"/>
        <w:rPr>
          <w:rFonts w:ascii="仿宋" w:hAnsi="仿宋" w:eastAsia="仿宋" w:cs="仿宋"/>
          <w:color w:val="000000"/>
          <w:kern w:val="0"/>
          <w:sz w:val="30"/>
          <w:szCs w:val="30"/>
        </w:rPr>
      </w:pPr>
    </w:p>
    <w:p>
      <w:pPr>
        <w:widowControl/>
        <w:spacing w:line="600" w:lineRule="exact"/>
        <w:ind w:firstLine="600" w:firstLineChars="200"/>
        <w:jc w:val="left"/>
        <w:rPr>
          <w:rFonts w:ascii="仿宋" w:hAnsi="仿宋" w:eastAsia="仿宋" w:cs="仿宋"/>
          <w:color w:val="000000"/>
          <w:kern w:val="0"/>
          <w:sz w:val="30"/>
          <w:szCs w:val="30"/>
        </w:rPr>
      </w:pPr>
    </w:p>
    <w:p>
      <w:pPr>
        <w:widowControl/>
        <w:spacing w:line="600" w:lineRule="exact"/>
        <w:ind w:firstLine="600" w:firstLineChars="200"/>
        <w:jc w:val="left"/>
        <w:rPr>
          <w:rFonts w:ascii="仿宋" w:hAnsi="仿宋" w:eastAsia="仿宋" w:cs="仿宋"/>
          <w:color w:val="000000"/>
          <w:kern w:val="0"/>
          <w:sz w:val="30"/>
          <w:szCs w:val="30"/>
        </w:rPr>
      </w:pPr>
    </w:p>
    <w:p>
      <w:pPr>
        <w:widowControl/>
        <w:spacing w:line="600" w:lineRule="exact"/>
        <w:ind w:firstLine="600" w:firstLineChars="200"/>
        <w:jc w:val="left"/>
        <w:rPr>
          <w:rFonts w:ascii="仿宋" w:hAnsi="仿宋" w:eastAsia="仿宋" w:cs="仿宋"/>
          <w:color w:val="000000"/>
          <w:kern w:val="0"/>
          <w:sz w:val="30"/>
          <w:szCs w:val="30"/>
        </w:rPr>
        <w:sectPr>
          <w:pgSz w:w="11906" w:h="16838"/>
          <w:pgMar w:top="1984" w:right="1474" w:bottom="1701" w:left="1587" w:header="851" w:footer="1531" w:gutter="0"/>
          <w:paperSrc/>
          <w:cols w:space="0" w:num="1"/>
          <w:rtlGutter w:val="0"/>
          <w:docGrid w:type="lines" w:linePitch="315" w:charSpace="0"/>
        </w:sect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（2020年度）</w:t>
      </w:r>
    </w:p>
    <w:p>
      <w:pPr>
        <w:spacing w:line="300" w:lineRule="exact"/>
        <w:rPr>
          <w:rFonts w:hint="eastAsia" w:ascii="宋体" w:hAnsi="宋体" w:eastAsia="宋体" w:cs="宋体"/>
          <w:sz w:val="24"/>
          <w:szCs w:val="24"/>
        </w:rPr>
      </w:pPr>
      <w:r>
        <w:rPr>
          <w:rFonts w:hint="eastAsia" w:ascii="宋体" w:hAnsi="宋体" w:eastAsia="宋体" w:cs="宋体"/>
          <w:sz w:val="24"/>
          <w:szCs w:val="24"/>
        </w:rPr>
        <w:t>填报单位：镇安县红十字会                                               自评得分：95分</w:t>
      </w:r>
    </w:p>
    <w:tbl>
      <w:tblPr>
        <w:tblStyle w:val="8"/>
        <w:tblW w:w="14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5"/>
        <w:gridCol w:w="8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jc w:val="center"/>
        </w:trPr>
        <w:tc>
          <w:tcPr>
            <w:tcW w:w="536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（一）简要概述部门职能与职责</w:t>
            </w:r>
          </w:p>
        </w:tc>
        <w:tc>
          <w:tcPr>
            <w:tcW w:w="8654" w:type="dxa"/>
            <w:vAlign w:val="center"/>
          </w:tcPr>
          <w:p>
            <w:pPr>
              <w:keepNext w:val="0"/>
              <w:keepLines w:val="0"/>
              <w:pageBreakBefore w:val="0"/>
              <w:kinsoku/>
              <w:wordWrap/>
              <w:overflowPunct/>
              <w:topLinePunct w:val="0"/>
              <w:autoSpaceDE/>
              <w:autoSpaceDN/>
              <w:bidi w:val="0"/>
              <w:adjustRightInd/>
              <w:snapToGrid/>
              <w:spacing w:line="280" w:lineRule="exact"/>
              <w:ind w:firstLine="400" w:firstLineChars="200"/>
              <w:jc w:val="both"/>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宣传、贯彻、执行《中华人民共和国红十字会法》和《中国红十字会章程》，组织落实中国红十字会工作的方针、政策；指导全县各级及行业红十字会开展活动，推动全县红十字会各项工作的开展；开展全县救灾准备工作；开展卫生救护宣传和普及工作；组织会员和志愿工作者开展人道领域内的社区服务和社会公益活动；依法参与、推动无偿献血工作；参与艾滋病防治的宣传教育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jc w:val="center"/>
        </w:trPr>
        <w:tc>
          <w:tcPr>
            <w:tcW w:w="536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（二）简要概述部门支出情况，按活动内容分类</w:t>
            </w:r>
          </w:p>
        </w:tc>
        <w:tc>
          <w:tcPr>
            <w:tcW w:w="8654" w:type="dxa"/>
            <w:vAlign w:val="center"/>
          </w:tcPr>
          <w:p>
            <w:pPr>
              <w:keepNext w:val="0"/>
              <w:keepLines w:val="0"/>
              <w:pageBreakBefore w:val="0"/>
              <w:kinsoku/>
              <w:wordWrap/>
              <w:overflowPunct/>
              <w:topLinePunct w:val="0"/>
              <w:autoSpaceDE/>
              <w:autoSpaceDN/>
              <w:bidi w:val="0"/>
              <w:adjustRightInd/>
              <w:snapToGrid/>
              <w:spacing w:line="280" w:lineRule="exact"/>
              <w:ind w:firstLine="400" w:firstLineChars="200"/>
              <w:jc w:val="both"/>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2020年度支出总计74.71万元，较2019年度减少2.98万元，减幅为4.09%，主要是人员减少，支出减少。其中：基本支出74.71万元（人员经费支出48.16万元，日常公用经费支出26.55万元），主要是为保障机构正常运转发生的各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1" w:hRule="atLeast"/>
          <w:jc w:val="center"/>
        </w:trPr>
        <w:tc>
          <w:tcPr>
            <w:tcW w:w="536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（三）简要概述当年县委县政府下达的重点工作</w:t>
            </w:r>
          </w:p>
        </w:tc>
        <w:tc>
          <w:tcPr>
            <w:tcW w:w="8654" w:type="dxa"/>
            <w:vAlign w:val="center"/>
          </w:tcPr>
          <w:p>
            <w:pPr>
              <w:keepNext w:val="0"/>
              <w:keepLines w:val="0"/>
              <w:pageBreakBefore w:val="0"/>
              <w:kinsoku/>
              <w:wordWrap/>
              <w:overflowPunct/>
              <w:topLinePunct w:val="0"/>
              <w:autoSpaceDE/>
              <w:autoSpaceDN/>
              <w:bidi w:val="0"/>
              <w:adjustRightInd/>
              <w:snapToGrid/>
              <w:spacing w:line="280" w:lineRule="exact"/>
              <w:ind w:firstLine="400" w:firstLineChars="200"/>
              <w:jc w:val="both"/>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2020年，县红十字会按照县委、县政府的决策部署，重点抓好以下几方面工作：一是积极引导红十字志愿者有序参与社会公益服务；二是建立完善的人道救助服务网络体系；三是严格执行信息公开制度，增强红十字会工作诚信度；四是主动开辟经常性、多层次的筹资渠道；五是做好脱贫攻坚工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宋体" w:hAnsi="宋体" w:eastAsia="宋体" w:cs="宋体"/>
          <w:sz w:val="24"/>
          <w:szCs w:val="24"/>
        </w:rPr>
      </w:pPr>
    </w:p>
    <w:tbl>
      <w:tblPr>
        <w:tblStyle w:val="8"/>
        <w:tblW w:w="15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726"/>
        <w:gridCol w:w="1035"/>
        <w:gridCol w:w="415"/>
        <w:gridCol w:w="3875"/>
        <w:gridCol w:w="2615"/>
        <w:gridCol w:w="1364"/>
        <w:gridCol w:w="1176"/>
        <w:gridCol w:w="836"/>
        <w:gridCol w:w="552"/>
        <w:gridCol w:w="1092"/>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5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一级</w:t>
            </w:r>
          </w:p>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w:t>
            </w:r>
          </w:p>
        </w:tc>
        <w:tc>
          <w:tcPr>
            <w:tcW w:w="726"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二级</w:t>
            </w:r>
          </w:p>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三级</w:t>
            </w:r>
          </w:p>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w:t>
            </w:r>
          </w:p>
        </w:tc>
        <w:tc>
          <w:tcPr>
            <w:tcW w:w="4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分值</w:t>
            </w:r>
          </w:p>
        </w:tc>
        <w:tc>
          <w:tcPr>
            <w:tcW w:w="387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指标说明</w:t>
            </w:r>
          </w:p>
        </w:tc>
        <w:tc>
          <w:tcPr>
            <w:tcW w:w="26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评分标准</w:t>
            </w:r>
          </w:p>
        </w:tc>
        <w:tc>
          <w:tcPr>
            <w:tcW w:w="136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指标值计算公式和数据获取方式</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年初目标值</w:t>
            </w:r>
          </w:p>
        </w:tc>
        <w:tc>
          <w:tcPr>
            <w:tcW w:w="836"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实际完成值</w:t>
            </w:r>
          </w:p>
        </w:tc>
        <w:tc>
          <w:tcPr>
            <w:tcW w:w="55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得分</w:t>
            </w:r>
          </w:p>
        </w:tc>
        <w:tc>
          <w:tcPr>
            <w:tcW w:w="109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未完成原因分析与改进措施</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0" w:hRule="atLeast"/>
          <w:jc w:val="center"/>
        </w:trPr>
        <w:tc>
          <w:tcPr>
            <w:tcW w:w="557" w:type="dxa"/>
            <w:vMerge w:val="restart"/>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投入</w:t>
            </w:r>
          </w:p>
        </w:tc>
        <w:tc>
          <w:tcPr>
            <w:tcW w:w="726" w:type="dxa"/>
            <w:vMerge w:val="restart"/>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预算</w:t>
            </w:r>
          </w:p>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执行</w:t>
            </w:r>
          </w:p>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(25分)</w:t>
            </w:r>
          </w:p>
        </w:tc>
        <w:tc>
          <w:tcPr>
            <w:tcW w:w="103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预算完成率</w:t>
            </w:r>
          </w:p>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（10分）</w:t>
            </w:r>
          </w:p>
        </w:tc>
        <w:tc>
          <w:tcPr>
            <w:tcW w:w="41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387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预算完成率=（预算完成数/预算数）×100%，用以反映和考核部门（单位）预算完成程度。</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预算完成数：部门（单位）本年度</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预算数：财政部门批复的本年度部门（单位）预算数。</w:t>
            </w:r>
          </w:p>
        </w:tc>
        <w:tc>
          <w:tcPr>
            <w:tcW w:w="261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预算完成率=100%，得10分。</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预算完成率≧95%的，得9分。</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预算完成率在90%（含）和95%之间，得8分。</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预算完成率在85%（含）和90%之间，得7分。</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预算完成率在80%（含）和85%之间，得6分。</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预算完成率在70%（含）和80%之间，得4分。</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预算完成率在〈70%，得0分。</w:t>
            </w:r>
          </w:p>
        </w:tc>
        <w:tc>
          <w:tcPr>
            <w:tcW w:w="136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预算完成率=（预算</w:t>
            </w:r>
          </w:p>
          <w:p>
            <w:pPr>
              <w:keepNext w:val="0"/>
              <w:keepLines w:val="0"/>
              <w:pageBreakBefore w:val="0"/>
              <w:widowControl/>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完成数74.71/预算</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数64.73）×100%</w:t>
            </w:r>
          </w:p>
        </w:tc>
        <w:tc>
          <w:tcPr>
            <w:tcW w:w="117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83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115%</w:t>
            </w:r>
          </w:p>
        </w:tc>
        <w:tc>
          <w:tcPr>
            <w:tcW w:w="55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109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857"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9" w:hRule="atLeast"/>
          <w:jc w:val="center"/>
        </w:trPr>
        <w:tc>
          <w:tcPr>
            <w:tcW w:w="557"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726"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103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预算调整率（5分）</w:t>
            </w:r>
          </w:p>
        </w:tc>
        <w:tc>
          <w:tcPr>
            <w:tcW w:w="41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87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pacing w:val="-6"/>
                <w:sz w:val="20"/>
                <w:szCs w:val="20"/>
              </w:rPr>
            </w:pPr>
            <w:r>
              <w:rPr>
                <w:rFonts w:hint="eastAsia" w:ascii="宋体" w:hAnsi="宋体" w:eastAsia="宋体" w:cs="宋体"/>
                <w:sz w:val="20"/>
                <w:szCs w:val="20"/>
              </w:rPr>
              <w:t>预算调整率</w:t>
            </w:r>
            <w:r>
              <w:rPr>
                <w:rFonts w:hint="eastAsia" w:ascii="宋体" w:hAnsi="宋体" w:eastAsia="宋体" w:cs="宋体"/>
                <w:spacing w:val="-6"/>
                <w:sz w:val="20"/>
                <w:szCs w:val="20"/>
              </w:rPr>
              <w:t>=(预算调整数/预算数)×100%，用以反映和考核部门(单位)预算的调整程度。</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预算调整数：部门（单位）在本年度内涉及预算的追加、追减或结构调整的资金总和（因落实国家政策、发生不可抗力、上级部门或本级党委政府临时交办而产生的调整除外）。</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预算包括一般公共预算与政府性基金预算。</w:t>
            </w:r>
          </w:p>
        </w:tc>
        <w:tc>
          <w:tcPr>
            <w:tcW w:w="261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预算调整率绝对值≦5%,得5分。预算调整率绝对值〉5%的，每增加0.1个百分点扣0.1分，扣完为止。</w:t>
            </w:r>
          </w:p>
        </w:tc>
        <w:tc>
          <w:tcPr>
            <w:tcW w:w="136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预算调整率=（</w:t>
            </w:r>
            <w:r>
              <w:rPr>
                <w:rFonts w:hint="eastAsia" w:ascii="宋体" w:hAnsi="宋体" w:eastAsia="宋体" w:cs="宋体"/>
                <w:spacing w:val="-6"/>
                <w:sz w:val="20"/>
                <w:szCs w:val="20"/>
              </w:rPr>
              <w:t>预算调整数（74.82-64.73）</w:t>
            </w:r>
            <w:r>
              <w:rPr>
                <w:rFonts w:hint="eastAsia" w:ascii="宋体" w:hAnsi="宋体" w:eastAsia="宋体" w:cs="宋体"/>
                <w:color w:val="000000"/>
                <w:kern w:val="0"/>
                <w:sz w:val="20"/>
                <w:szCs w:val="20"/>
              </w:rPr>
              <w:t>/预算数</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64.73）×100%</w:t>
            </w:r>
          </w:p>
        </w:tc>
        <w:tc>
          <w:tcPr>
            <w:tcW w:w="117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≤5%</w:t>
            </w:r>
          </w:p>
        </w:tc>
        <w:tc>
          <w:tcPr>
            <w:tcW w:w="83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15.6%</w:t>
            </w:r>
          </w:p>
        </w:tc>
        <w:tc>
          <w:tcPr>
            <w:tcW w:w="55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9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857"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jc w:val="center"/>
        </w:trPr>
        <w:tc>
          <w:tcPr>
            <w:tcW w:w="557" w:type="dxa"/>
            <w:vMerge w:val="restart"/>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投入</w:t>
            </w:r>
          </w:p>
        </w:tc>
        <w:tc>
          <w:tcPr>
            <w:tcW w:w="726" w:type="dxa"/>
            <w:vMerge w:val="restart"/>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预算执行</w:t>
            </w:r>
          </w:p>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(25分)</w:t>
            </w:r>
          </w:p>
        </w:tc>
        <w:tc>
          <w:tcPr>
            <w:tcW w:w="103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支出进度率（5分）</w:t>
            </w:r>
          </w:p>
        </w:tc>
        <w:tc>
          <w:tcPr>
            <w:tcW w:w="41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87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支出进度率=（实际支出/支出预算）×100%，用以反映和考核部门（单位）预算执行的及时性和均衡性程度。</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半年支出进度=部门上半年实际支出/（上年结余结转+本年部门预算安排+上半年执行中追加追减）*100%。</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前三季度支出进度=部门前三季度实际支出/（上年结余结转+本年部门预算安排+前三季度执行中追加追减）*100%。</w:t>
            </w:r>
          </w:p>
        </w:tc>
        <w:tc>
          <w:tcPr>
            <w:tcW w:w="261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半年进度：进度率≧45%，得2分；进度率在40%（含）和45%之间，得1分；进度率〈40%，得0分。</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前三季度进度：进度率≧75%，得3分；进度率在60%（含）和75%之间，得2分；进度率〈60%，得0分。</w:t>
            </w:r>
          </w:p>
        </w:tc>
        <w:tc>
          <w:tcPr>
            <w:tcW w:w="1364"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集中支付</w:t>
            </w:r>
          </w:p>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系统</w:t>
            </w:r>
          </w:p>
        </w:tc>
        <w:tc>
          <w:tcPr>
            <w:tcW w:w="117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≥95%</w:t>
            </w:r>
          </w:p>
        </w:tc>
        <w:tc>
          <w:tcPr>
            <w:tcW w:w="83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99.85%</w:t>
            </w:r>
          </w:p>
        </w:tc>
        <w:tc>
          <w:tcPr>
            <w:tcW w:w="55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109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857"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7"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726"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103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预算编制准确率（5分）</w:t>
            </w:r>
          </w:p>
        </w:tc>
        <w:tc>
          <w:tcPr>
            <w:tcW w:w="41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87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部门预算中除财政拨款外的其他收入预算与决算差异率。</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预算编制准确率=其他收入决算数/其他收入预算数×100%-100%。</w:t>
            </w:r>
          </w:p>
        </w:tc>
        <w:tc>
          <w:tcPr>
            <w:tcW w:w="261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预算编制准确率≦20%，得5分。预算编制准确率在20%和40%（含）之间，得3分。</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预算编制准确率〉40%，得0分。</w:t>
            </w:r>
          </w:p>
        </w:tc>
        <w:tc>
          <w:tcPr>
            <w:tcW w:w="1364"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w:t>
            </w:r>
          </w:p>
        </w:tc>
        <w:tc>
          <w:tcPr>
            <w:tcW w:w="117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83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55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109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857"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557" w:type="dxa"/>
            <w:vMerge w:val="restart"/>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过程</w:t>
            </w:r>
          </w:p>
        </w:tc>
        <w:tc>
          <w:tcPr>
            <w:tcW w:w="726" w:type="dxa"/>
            <w:vMerge w:val="restart"/>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预算管理</w:t>
            </w:r>
          </w:p>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（15分）</w:t>
            </w:r>
          </w:p>
        </w:tc>
        <w:tc>
          <w:tcPr>
            <w:tcW w:w="103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“三公经费”控制率（5分）</w:t>
            </w:r>
          </w:p>
        </w:tc>
        <w:tc>
          <w:tcPr>
            <w:tcW w:w="41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87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“三公经费”控制率=（“三公经费”实际支出数/“三公经费”预算安排数）×100%，用以反映和考核部门（单位）对“三公经费”的实际控制程度。</w:t>
            </w:r>
          </w:p>
        </w:tc>
        <w:tc>
          <w:tcPr>
            <w:tcW w:w="261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三公经费控制率≦100%，得5分，每增加0.1个百分点扣0.5分，扣完为止。</w:t>
            </w:r>
          </w:p>
        </w:tc>
        <w:tc>
          <w:tcPr>
            <w:tcW w:w="1364"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≤100%</w:t>
            </w:r>
          </w:p>
        </w:tc>
        <w:tc>
          <w:tcPr>
            <w:tcW w:w="117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3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55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109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857"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557"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726"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103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资产管理规范性（5分）</w:t>
            </w:r>
          </w:p>
        </w:tc>
        <w:tc>
          <w:tcPr>
            <w:tcW w:w="41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87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部门（单位）资产管理是否规范，用以反映和考核部门（单位）资产管理情况。</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1.新增资产配置按预算执行。</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2.资产有偿使用、处置按规定程序审批。</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3.资产收益及时、足额上缴财政。</w:t>
            </w:r>
          </w:p>
        </w:tc>
        <w:tc>
          <w:tcPr>
            <w:tcW w:w="261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全部符合5分，有1项不符扣2分，扣完为止。</w:t>
            </w:r>
          </w:p>
        </w:tc>
        <w:tc>
          <w:tcPr>
            <w:tcW w:w="136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按照指</w:t>
            </w:r>
          </w:p>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标要求</w:t>
            </w:r>
          </w:p>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规范实</w:t>
            </w:r>
          </w:p>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施资产</w:t>
            </w:r>
          </w:p>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管理</w:t>
            </w:r>
          </w:p>
        </w:tc>
        <w:tc>
          <w:tcPr>
            <w:tcW w:w="117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1.新增资产配置均按预算执</w:t>
            </w:r>
          </w:p>
          <w:p>
            <w:pPr>
              <w:keepNext w:val="0"/>
              <w:keepLines w:val="0"/>
              <w:pageBreakBefore w:val="0"/>
              <w:widowControl/>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行。</w:t>
            </w:r>
          </w:p>
          <w:p>
            <w:pPr>
              <w:keepNext w:val="0"/>
              <w:keepLines w:val="0"/>
              <w:pageBreakBefore w:val="0"/>
              <w:widowControl/>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2.2020</w:t>
            </w:r>
          </w:p>
          <w:p>
            <w:pPr>
              <w:keepNext w:val="0"/>
              <w:keepLines w:val="0"/>
              <w:pageBreakBefore w:val="0"/>
              <w:widowControl/>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年度无资产有偿使用和处置</w:t>
            </w:r>
          </w:p>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事项。</w:t>
            </w:r>
          </w:p>
        </w:tc>
        <w:tc>
          <w:tcPr>
            <w:tcW w:w="83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55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109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857"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7"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过程</w:t>
            </w:r>
          </w:p>
        </w:tc>
        <w:tc>
          <w:tcPr>
            <w:tcW w:w="72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预算管理（15分）</w:t>
            </w:r>
          </w:p>
        </w:tc>
        <w:tc>
          <w:tcPr>
            <w:tcW w:w="103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资金使用合规性（5分）</w:t>
            </w:r>
          </w:p>
        </w:tc>
        <w:tc>
          <w:tcPr>
            <w:tcW w:w="41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87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部门（单位）使用预算资金是否符合相关的预算财务管理制度的规定，用以反映和考核部门（单位）预算资金的规范运行情况。</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1.符合国家财经法规和财务管理制度规定以及有关专项资金管理办法的规定；</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2.资金的拨付有完整的审批程序和手续；</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3.重大项目开支经过评估论证；</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4.符合部门预算批复的用途；</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5.不存</w:t>
            </w:r>
            <w:r>
              <w:rPr>
                <w:rFonts w:hint="eastAsia" w:ascii="宋体" w:hAnsi="宋体" w:eastAsia="宋体" w:cs="宋体"/>
                <w:spacing w:val="-6"/>
                <w:sz w:val="20"/>
                <w:szCs w:val="20"/>
              </w:rPr>
              <w:t>在截留、挤占、挪用、虚列支出等情况。</w:t>
            </w:r>
          </w:p>
        </w:tc>
        <w:tc>
          <w:tcPr>
            <w:tcW w:w="261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全部符合5分，有1项不符扣2分。</w:t>
            </w:r>
          </w:p>
        </w:tc>
        <w:tc>
          <w:tcPr>
            <w:tcW w:w="1364"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117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按照5</w:t>
            </w:r>
          </w:p>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项指标</w:t>
            </w:r>
          </w:p>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要求规</w:t>
            </w:r>
          </w:p>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范使用</w:t>
            </w:r>
          </w:p>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预算资</w:t>
            </w:r>
          </w:p>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金</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2020年度</w:t>
            </w:r>
          </w:p>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均按照指标要求合规使用预</w:t>
            </w:r>
          </w:p>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rPr>
              <w:t>算资金</w:t>
            </w:r>
          </w:p>
        </w:tc>
        <w:tc>
          <w:tcPr>
            <w:tcW w:w="55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109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857"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7" w:type="dxa"/>
            <w:vMerge w:val="restart"/>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效果</w:t>
            </w:r>
          </w:p>
        </w:tc>
        <w:tc>
          <w:tcPr>
            <w:tcW w:w="726" w:type="dxa"/>
            <w:vMerge w:val="restart"/>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履职尽责（60分）</w:t>
            </w:r>
          </w:p>
        </w:tc>
        <w:tc>
          <w:tcPr>
            <w:tcW w:w="103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项目产出（40分）</w:t>
            </w:r>
          </w:p>
        </w:tc>
        <w:tc>
          <w:tcPr>
            <w:tcW w:w="41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40</w:t>
            </w:r>
          </w:p>
        </w:tc>
        <w:tc>
          <w:tcPr>
            <w:tcW w:w="387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p>
        </w:tc>
        <w:tc>
          <w:tcPr>
            <w:tcW w:w="2615" w:type="dxa"/>
            <w:vMerge w:val="restart"/>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pacing w:val="-6"/>
                <w:sz w:val="20"/>
                <w:szCs w:val="20"/>
              </w:rPr>
            </w:pPr>
            <w:r>
              <w:rPr>
                <w:rFonts w:hint="eastAsia" w:ascii="宋体" w:hAnsi="宋体" w:eastAsia="宋体" w:cs="宋体"/>
                <w:sz w:val="20"/>
                <w:szCs w:val="20"/>
              </w:rPr>
              <w:t>1.若为定</w:t>
            </w:r>
            <w:r>
              <w:rPr>
                <w:rFonts w:hint="eastAsia" w:ascii="宋体" w:hAnsi="宋体" w:eastAsia="宋体" w:cs="宋体"/>
                <w:spacing w:val="-6"/>
                <w:sz w:val="20"/>
                <w:szCs w:val="20"/>
              </w:rPr>
              <w:t>性指标，根据“三档”原则分别按照指标分值的100-80%（含）、80-50%（含）、50-10%来记分；</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2.若为定量指标，完成值达到指标值，记满分；未达到指标值，按完成比率计分，正向指标（即指标值为≧*）得分=实际完成值/年初目标值*该</w:t>
            </w:r>
            <w:r>
              <w:rPr>
                <w:rFonts w:hint="eastAsia" w:ascii="宋体" w:hAnsi="宋体" w:eastAsia="宋体" w:cs="宋体"/>
                <w:spacing w:val="-6"/>
                <w:sz w:val="20"/>
                <w:szCs w:val="20"/>
              </w:rPr>
              <w:t>指标分值，反向指标（即指标值为≦*）得分=年初目标值/实际完成值*该指标分值。</w:t>
            </w:r>
          </w:p>
        </w:tc>
        <w:tc>
          <w:tcPr>
            <w:tcW w:w="1364"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117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83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55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40</w:t>
            </w:r>
          </w:p>
        </w:tc>
        <w:tc>
          <w:tcPr>
            <w:tcW w:w="109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857"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7"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726"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103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项目效益（20分）</w:t>
            </w:r>
          </w:p>
        </w:tc>
        <w:tc>
          <w:tcPr>
            <w:tcW w:w="415"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20</w:t>
            </w:r>
          </w:p>
        </w:tc>
        <w:tc>
          <w:tcPr>
            <w:tcW w:w="3875" w:type="dxa"/>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p>
        </w:tc>
        <w:tc>
          <w:tcPr>
            <w:tcW w:w="2615" w:type="dxa"/>
            <w:vMerge w:val="continue"/>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p>
        </w:tc>
        <w:tc>
          <w:tcPr>
            <w:tcW w:w="1364"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117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836"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55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20</w:t>
            </w:r>
          </w:p>
        </w:tc>
        <w:tc>
          <w:tcPr>
            <w:tcW w:w="1092"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p>
        </w:tc>
        <w:tc>
          <w:tcPr>
            <w:tcW w:w="857" w:type="dxa"/>
            <w:vAlign w:val="center"/>
          </w:tcPr>
          <w:p>
            <w:pPr>
              <w:keepNext w:val="0"/>
              <w:keepLines w:val="0"/>
              <w:pageBreakBefore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sz w:val="20"/>
                <w:szCs w:val="20"/>
              </w:rPr>
            </w:pPr>
            <w:r>
              <w:rPr>
                <w:rFonts w:hint="eastAsia" w:ascii="宋体" w:hAnsi="宋体" w:eastAsia="宋体" w:cs="宋体"/>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 w:hRule="atLeast"/>
          <w:jc w:val="center"/>
        </w:trPr>
        <w:tc>
          <w:tcPr>
            <w:tcW w:w="15100" w:type="dxa"/>
            <w:gridSpan w:val="12"/>
            <w:vAlign w:val="center"/>
          </w:tcPr>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备注：</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1.“项目产出”和“项目效果”直接细化成部门年初绩效目标中的指标，并根据重要程度赋权。</w:t>
            </w:r>
          </w:p>
          <w:p>
            <w:pPr>
              <w:keepNext w:val="0"/>
              <w:keepLines w:val="0"/>
              <w:pageBreakBefore w:val="0"/>
              <w:kinsoku/>
              <w:wordWrap/>
              <w:overflowPunct/>
              <w:topLinePunct w:val="0"/>
              <w:autoSpaceDE/>
              <w:autoSpaceDN/>
              <w:bidi w:val="0"/>
              <w:adjustRightInd/>
              <w:snapToGrid/>
              <w:spacing w:line="280" w:lineRule="exact"/>
              <w:ind w:firstLine="0"/>
              <w:jc w:val="both"/>
              <w:textAlignment w:val="auto"/>
              <w:rPr>
                <w:rFonts w:hint="eastAsia" w:ascii="宋体" w:hAnsi="宋体" w:eastAsia="宋体" w:cs="宋体"/>
                <w:sz w:val="20"/>
                <w:szCs w:val="20"/>
              </w:rPr>
            </w:pPr>
            <w:r>
              <w:rPr>
                <w:rFonts w:hint="eastAsia" w:ascii="宋体" w:hAnsi="宋体" w:eastAsia="宋体" w:cs="宋体"/>
                <w:sz w:val="20"/>
                <w:szCs w:val="20"/>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spacing w:line="300" w:lineRule="exact"/>
        <w:rPr>
          <w:rFonts w:ascii="仿宋" w:hAnsi="仿宋" w:eastAsia="仿宋" w:cs="仿宋"/>
          <w:sz w:val="24"/>
        </w:rPr>
      </w:pPr>
    </w:p>
    <w:p>
      <w:pPr>
        <w:spacing w:line="300" w:lineRule="exact"/>
        <w:rPr>
          <w:rFonts w:ascii="仿宋" w:hAnsi="仿宋" w:eastAsia="仿宋" w:cs="仿宋"/>
          <w:sz w:val="30"/>
          <w:szCs w:val="30"/>
        </w:rPr>
        <w:sectPr>
          <w:pgSz w:w="16838" w:h="11906" w:orient="landscape"/>
          <w:pgMar w:top="1417" w:right="1417" w:bottom="1134" w:left="1417" w:header="851" w:footer="1531" w:gutter="0"/>
          <w:paperSrc/>
          <w:cols w:space="0" w:num="1"/>
          <w:rtlGutter w:val="0"/>
          <w:docGrid w:type="lines" w:linePitch="315" w:charSpace="0"/>
        </w:sectPr>
      </w:pPr>
    </w:p>
    <w:p>
      <w:pPr>
        <w:keepNext w:val="0"/>
        <w:keepLines w:val="0"/>
        <w:pageBreakBefore w:val="0"/>
        <w:kinsoku/>
        <w:wordWrap/>
        <w:overflowPunct/>
        <w:topLinePunct w:val="0"/>
        <w:autoSpaceDE/>
        <w:autoSpaceDN/>
        <w:bidi w:val="0"/>
        <w:adjustRightInd/>
        <w:snapToGrid/>
        <w:spacing w:line="560" w:lineRule="exact"/>
        <w:ind w:firstLine="654"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kinsoku/>
        <w:wordWrap/>
        <w:overflowPunct/>
        <w:topLinePunct w:val="0"/>
        <w:autoSpaceDE/>
        <w:autoSpaceDN/>
        <w:bidi w:val="0"/>
        <w:adjustRightInd/>
        <w:snapToGrid/>
        <w:spacing w:line="560" w:lineRule="exact"/>
        <w:ind w:firstLine="654"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（一）机关运行经费支出情况说明</w:t>
      </w:r>
    </w:p>
    <w:p>
      <w:pPr>
        <w:keepNext w:val="0"/>
        <w:keepLines w:val="0"/>
        <w:pageBreakBefore w:val="0"/>
        <w:widowControl/>
        <w:kinsoku/>
        <w:wordWrap/>
        <w:overflowPunct/>
        <w:topLinePunct w:val="0"/>
        <w:autoSpaceDE/>
        <w:autoSpaceDN/>
        <w:bidi w:val="0"/>
        <w:adjustRightInd/>
        <w:snapToGrid/>
        <w:spacing w:line="560" w:lineRule="exact"/>
        <w:ind w:firstLine="65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单位</w:t>
      </w:r>
      <w:r>
        <w:rPr>
          <w:rFonts w:hint="eastAsia" w:ascii="仿宋_GB2312" w:hAnsi="仿宋_GB2312" w:eastAsia="仿宋_GB2312" w:cs="仿宋_GB2312"/>
          <w:color w:val="000000"/>
          <w:kern w:val="0"/>
          <w:sz w:val="32"/>
          <w:szCs w:val="32"/>
        </w:rPr>
        <w:t>机关运行经费支出</w:t>
      </w:r>
      <w:r>
        <w:rPr>
          <w:rFonts w:hint="eastAsia" w:ascii="仿宋_GB2312" w:hAnsi="仿宋_GB2312" w:eastAsia="仿宋_GB2312" w:cs="仿宋_GB2312"/>
          <w:color w:val="000000"/>
          <w:kern w:val="0"/>
          <w:sz w:val="32"/>
          <w:szCs w:val="32"/>
        </w:rPr>
        <w:t>26.55万元，较上年</w:t>
      </w:r>
      <w:r>
        <w:rPr>
          <w:rFonts w:hint="eastAsia" w:ascii="仿宋_GB2312" w:hAnsi="仿宋_GB2312" w:eastAsia="仿宋_GB2312" w:cs="仿宋_GB2312"/>
          <w:color w:val="000000"/>
          <w:kern w:val="0"/>
          <w:sz w:val="32"/>
          <w:szCs w:val="32"/>
        </w:rPr>
        <w:t>20.29万元，增加</w:t>
      </w:r>
      <w:r>
        <w:rPr>
          <w:rFonts w:hint="eastAsia" w:ascii="仿宋_GB2312" w:hAnsi="仿宋_GB2312" w:eastAsia="仿宋_GB2312" w:cs="仿宋_GB2312"/>
          <w:color w:val="000000"/>
          <w:kern w:val="0"/>
          <w:sz w:val="32"/>
          <w:szCs w:val="32"/>
        </w:rPr>
        <w:t>6.26万元，</w:t>
      </w:r>
      <w:r>
        <w:rPr>
          <w:rFonts w:hint="eastAsia" w:ascii="仿宋_GB2312" w:hAnsi="仿宋_GB2312" w:eastAsia="仿宋_GB2312" w:cs="仿宋_GB2312"/>
          <w:color w:val="000000"/>
          <w:kern w:val="0"/>
          <w:sz w:val="32"/>
          <w:szCs w:val="32"/>
        </w:rPr>
        <w:t>增幅28.08%。主要原因是开展</w:t>
      </w:r>
      <w:r>
        <w:rPr>
          <w:rFonts w:hint="eastAsia" w:ascii="仿宋_GB2312" w:hAnsi="仿宋_GB2312" w:eastAsia="仿宋_GB2312" w:cs="仿宋_GB2312"/>
          <w:color w:val="000000"/>
          <w:kern w:val="0"/>
          <w:sz w:val="32"/>
          <w:szCs w:val="32"/>
        </w:rPr>
        <w:t>新冠肺炎捐款工作费用、脱贫攻坚工作日常差旅费、办公费用增加。</w:t>
      </w:r>
    </w:p>
    <w:p>
      <w:pPr>
        <w:keepNext w:val="0"/>
        <w:keepLines w:val="0"/>
        <w:pageBreakBefore w:val="0"/>
        <w:kinsoku/>
        <w:wordWrap/>
        <w:overflowPunct/>
        <w:topLinePunct w:val="0"/>
        <w:autoSpaceDE/>
        <w:autoSpaceDN/>
        <w:bidi w:val="0"/>
        <w:adjustRightInd/>
        <w:snapToGrid/>
        <w:spacing w:line="560" w:lineRule="exact"/>
        <w:ind w:firstLine="654"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（二）政府采购支出</w:t>
      </w:r>
    </w:p>
    <w:p>
      <w:pPr>
        <w:keepNext w:val="0"/>
        <w:keepLines w:val="0"/>
        <w:pageBreakBefore w:val="0"/>
        <w:widowControl/>
        <w:kinsoku/>
        <w:wordWrap/>
        <w:overflowPunct/>
        <w:topLinePunct w:val="0"/>
        <w:autoSpaceDE/>
        <w:autoSpaceDN/>
        <w:bidi w:val="0"/>
        <w:adjustRightInd/>
        <w:snapToGrid/>
        <w:spacing w:line="560" w:lineRule="exact"/>
        <w:ind w:firstLine="65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2020本部门</w:t>
      </w:r>
      <w:r>
        <w:rPr>
          <w:rFonts w:hint="eastAsia" w:ascii="仿宋_GB2312" w:hAnsi="仿宋_GB2312" w:eastAsia="仿宋_GB2312" w:cs="仿宋_GB2312"/>
          <w:color w:val="000000"/>
          <w:kern w:val="0"/>
          <w:sz w:val="32"/>
          <w:szCs w:val="32"/>
        </w:rPr>
        <w:t>无政府采购支出。</w:t>
      </w:r>
    </w:p>
    <w:p>
      <w:pPr>
        <w:keepNext w:val="0"/>
        <w:keepLines w:val="0"/>
        <w:pageBreakBefore w:val="0"/>
        <w:kinsoku/>
        <w:wordWrap/>
        <w:overflowPunct/>
        <w:topLinePunct w:val="0"/>
        <w:autoSpaceDE/>
        <w:autoSpaceDN/>
        <w:bidi w:val="0"/>
        <w:adjustRightInd/>
        <w:snapToGrid/>
        <w:spacing w:line="560" w:lineRule="exact"/>
        <w:ind w:firstLine="654"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（三）国有资产占用及购置情况说明</w:t>
      </w:r>
    </w:p>
    <w:p>
      <w:pPr>
        <w:keepNext w:val="0"/>
        <w:keepLines w:val="0"/>
        <w:pageBreakBefore w:val="0"/>
        <w:kinsoku/>
        <w:wordWrap/>
        <w:overflowPunct/>
        <w:topLinePunct w:val="0"/>
        <w:autoSpaceDE/>
        <w:autoSpaceDN/>
        <w:bidi w:val="0"/>
        <w:adjustRightInd/>
        <w:snapToGrid/>
        <w:spacing w:line="560" w:lineRule="exact"/>
        <w:ind w:firstLine="65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截至2020年末，本部门机关及所属单位</w:t>
      </w:r>
      <w:r>
        <w:rPr>
          <w:rFonts w:hint="eastAsia" w:ascii="仿宋_GB2312" w:hAnsi="仿宋_GB2312" w:eastAsia="仿宋_GB2312" w:cs="仿宋_GB2312"/>
          <w:sz w:val="32"/>
          <w:szCs w:val="32"/>
        </w:rPr>
        <w:t>公务车辆保有量0辆；单价50万元以上的通用设备0台（套）；单价100万元以上的专用设备0台（套）。2020年当年购置车辆0辆；购置单价50万元以上的通用设备0台（套）；购置单价100万元以上的专用设备0台（套）。</w:t>
      </w:r>
    </w:p>
    <w:p>
      <w:pPr>
        <w:jc w:val="both"/>
        <w:rPr>
          <w:rFonts w:hint="eastAsia" w:ascii="仿宋_GB2312" w:hAnsi="仿宋_GB2312" w:eastAsia="仿宋_GB2312" w:cs="仿宋_GB2312"/>
          <w:sz w:val="30"/>
          <w:szCs w:val="30"/>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bookmarkStart w:id="0" w:name="_GoBack"/>
      <w:bookmarkEnd w:id="0"/>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第四部分  专业名词解释</w:t>
      </w:r>
    </w:p>
    <w:p>
      <w:pPr>
        <w:ind w:firstLine="614" w:firstLineChars="200"/>
        <w:rPr>
          <w:rFonts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560" w:lineRule="exact"/>
        <w:ind w:firstLine="654" w:firstLineChars="200"/>
        <w:jc w:val="both"/>
        <w:textAlignment w:val="auto"/>
        <w:rPr>
          <w:sz w:val="32"/>
          <w:szCs w:val="32"/>
        </w:rPr>
      </w:pPr>
      <w:r>
        <w:rPr>
          <w:rFonts w:ascii="仿宋_GB2312" w:hAnsi="仿宋_GB2312" w:eastAsia="仿宋_GB2312" w:cs="仿宋_GB2312"/>
          <w:b/>
          <w:bCs/>
          <w:color w:val="000000"/>
          <w:kern w:val="0"/>
          <w:sz w:val="32"/>
          <w:szCs w:val="32"/>
        </w:rPr>
        <w:t>1、红十字事业支出</w:t>
      </w:r>
      <w:r>
        <w:rPr>
          <w:rFonts w:ascii="仿宋_GB2312" w:hAnsi="仿宋_GB2312" w:eastAsia="仿宋_GB2312" w:cs="仿宋_GB2312"/>
          <w:color w:val="000000"/>
          <w:kern w:val="0"/>
          <w:sz w:val="32"/>
          <w:szCs w:val="32"/>
        </w:rPr>
        <w:t>：反映政府支持红十字会开展红十字社会公益活动等方面的支出。</w:t>
      </w:r>
    </w:p>
    <w:p>
      <w:pPr>
        <w:keepNext w:val="0"/>
        <w:keepLines w:val="0"/>
        <w:pageBreakBefore w:val="0"/>
        <w:widowControl/>
        <w:kinsoku/>
        <w:wordWrap/>
        <w:overflowPunct/>
        <w:topLinePunct w:val="0"/>
        <w:autoSpaceDE/>
        <w:autoSpaceDN/>
        <w:bidi w:val="0"/>
        <w:adjustRightInd/>
        <w:snapToGrid/>
        <w:spacing w:line="560" w:lineRule="exact"/>
        <w:ind w:firstLine="654" w:firstLineChars="200"/>
        <w:jc w:val="both"/>
        <w:textAlignment w:val="auto"/>
        <w:rPr>
          <w:sz w:val="32"/>
          <w:szCs w:val="32"/>
        </w:rPr>
      </w:pPr>
      <w:r>
        <w:rPr>
          <w:rFonts w:ascii="仿宋_GB2312" w:hAnsi="仿宋_GB2312" w:eastAsia="仿宋_GB2312" w:cs="仿宋_GB2312"/>
          <w:b/>
          <w:bCs/>
          <w:color w:val="000000"/>
          <w:kern w:val="0"/>
          <w:sz w:val="32"/>
          <w:szCs w:val="32"/>
        </w:rPr>
        <w:t>2、专项业务经费</w:t>
      </w:r>
      <w:r>
        <w:rPr>
          <w:rFonts w:ascii="仿宋_GB2312" w:hAnsi="仿宋_GB2312" w:eastAsia="仿宋_GB2312" w:cs="仿宋_GB2312"/>
          <w:color w:val="000000"/>
          <w:kern w:val="0"/>
          <w:sz w:val="32"/>
          <w:szCs w:val="32"/>
        </w:rPr>
        <w:t>：是指县红十会日常完成红十字会基层组织建设、初级卫生救护培训和备灾救灾等特定工作任务和事业发展目标所发生的支出。</w:t>
      </w:r>
    </w:p>
    <w:sectPr>
      <w:footerReference r:id="rId3" w:type="default"/>
      <w:footerReference r:id="rId4" w:type="even"/>
      <w:pgSz w:w="11906" w:h="16838"/>
      <w:pgMar w:top="1984" w:right="1474" w:bottom="1701" w:left="1587" w:header="851" w:footer="992" w:gutter="0"/>
      <w:paperSrc/>
      <w:cols w:space="0" w:num="1"/>
      <w:titlePg/>
      <w:rtlGutter w:val="0"/>
      <w:docGrid w:type="linesAndChars" w:linePitch="312" w:charSpace="14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琥珀简体">
    <w:panose1 w:val="02010601030101010101"/>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217"/>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4E97"/>
    <w:rsid w:val="00000BD0"/>
    <w:rsid w:val="0002080D"/>
    <w:rsid w:val="00023F48"/>
    <w:rsid w:val="00025FD4"/>
    <w:rsid w:val="00030CBB"/>
    <w:rsid w:val="000336C2"/>
    <w:rsid w:val="00034AE4"/>
    <w:rsid w:val="00036AC8"/>
    <w:rsid w:val="00054C08"/>
    <w:rsid w:val="00061AD8"/>
    <w:rsid w:val="0008705E"/>
    <w:rsid w:val="00090AE1"/>
    <w:rsid w:val="00093842"/>
    <w:rsid w:val="000D29CC"/>
    <w:rsid w:val="000D5EEB"/>
    <w:rsid w:val="000F22CA"/>
    <w:rsid w:val="000F35D2"/>
    <w:rsid w:val="00100388"/>
    <w:rsid w:val="00102806"/>
    <w:rsid w:val="001126F1"/>
    <w:rsid w:val="001151A2"/>
    <w:rsid w:val="00117571"/>
    <w:rsid w:val="00126A23"/>
    <w:rsid w:val="00126E14"/>
    <w:rsid w:val="00154015"/>
    <w:rsid w:val="001767DE"/>
    <w:rsid w:val="001813AB"/>
    <w:rsid w:val="001A276A"/>
    <w:rsid w:val="001B2C49"/>
    <w:rsid w:val="001B3DD5"/>
    <w:rsid w:val="001D0E09"/>
    <w:rsid w:val="001D316F"/>
    <w:rsid w:val="001D6218"/>
    <w:rsid w:val="001F3638"/>
    <w:rsid w:val="0020094D"/>
    <w:rsid w:val="002209F6"/>
    <w:rsid w:val="00221BEC"/>
    <w:rsid w:val="00226EE1"/>
    <w:rsid w:val="00227AF8"/>
    <w:rsid w:val="00232EF5"/>
    <w:rsid w:val="00237BB7"/>
    <w:rsid w:val="0024052B"/>
    <w:rsid w:val="002514A9"/>
    <w:rsid w:val="00251A51"/>
    <w:rsid w:val="00253F64"/>
    <w:rsid w:val="00256A74"/>
    <w:rsid w:val="0026750B"/>
    <w:rsid w:val="00273DF6"/>
    <w:rsid w:val="00273E98"/>
    <w:rsid w:val="002751C6"/>
    <w:rsid w:val="00295968"/>
    <w:rsid w:val="002967BF"/>
    <w:rsid w:val="002A165E"/>
    <w:rsid w:val="002A69E7"/>
    <w:rsid w:val="002A69F5"/>
    <w:rsid w:val="002B3DC0"/>
    <w:rsid w:val="002C6BEC"/>
    <w:rsid w:val="002D0A85"/>
    <w:rsid w:val="002D2747"/>
    <w:rsid w:val="002D2F6D"/>
    <w:rsid w:val="002E3BEB"/>
    <w:rsid w:val="002E6A7D"/>
    <w:rsid w:val="002E6E7A"/>
    <w:rsid w:val="002F4903"/>
    <w:rsid w:val="00312BEE"/>
    <w:rsid w:val="00313A0C"/>
    <w:rsid w:val="00315004"/>
    <w:rsid w:val="003247AC"/>
    <w:rsid w:val="0033144D"/>
    <w:rsid w:val="00334F2F"/>
    <w:rsid w:val="00343328"/>
    <w:rsid w:val="003451DE"/>
    <w:rsid w:val="003476C4"/>
    <w:rsid w:val="003654B0"/>
    <w:rsid w:val="00365DBF"/>
    <w:rsid w:val="00375A33"/>
    <w:rsid w:val="00381BE5"/>
    <w:rsid w:val="00393299"/>
    <w:rsid w:val="003A173A"/>
    <w:rsid w:val="003A4BA2"/>
    <w:rsid w:val="003B1547"/>
    <w:rsid w:val="003B1DD5"/>
    <w:rsid w:val="003B30D7"/>
    <w:rsid w:val="003C1355"/>
    <w:rsid w:val="003C6710"/>
    <w:rsid w:val="003D2E4E"/>
    <w:rsid w:val="003D5579"/>
    <w:rsid w:val="003F5767"/>
    <w:rsid w:val="0041572E"/>
    <w:rsid w:val="00416F02"/>
    <w:rsid w:val="0044215B"/>
    <w:rsid w:val="00444233"/>
    <w:rsid w:val="00457F22"/>
    <w:rsid w:val="00466E87"/>
    <w:rsid w:val="00490E19"/>
    <w:rsid w:val="004A0963"/>
    <w:rsid w:val="004A30E9"/>
    <w:rsid w:val="004A3732"/>
    <w:rsid w:val="004A6AB9"/>
    <w:rsid w:val="004C12E2"/>
    <w:rsid w:val="004C3F3E"/>
    <w:rsid w:val="004C4C11"/>
    <w:rsid w:val="004C78D4"/>
    <w:rsid w:val="004D58C2"/>
    <w:rsid w:val="004E5E2D"/>
    <w:rsid w:val="004E7CB9"/>
    <w:rsid w:val="004F27F3"/>
    <w:rsid w:val="004F52B8"/>
    <w:rsid w:val="004F5C44"/>
    <w:rsid w:val="005019F8"/>
    <w:rsid w:val="00507388"/>
    <w:rsid w:val="005126D5"/>
    <w:rsid w:val="00513F8D"/>
    <w:rsid w:val="00516DD5"/>
    <w:rsid w:val="00524785"/>
    <w:rsid w:val="0052483F"/>
    <w:rsid w:val="0053057C"/>
    <w:rsid w:val="00534AB3"/>
    <w:rsid w:val="0054763A"/>
    <w:rsid w:val="00555792"/>
    <w:rsid w:val="00562F04"/>
    <w:rsid w:val="00565C66"/>
    <w:rsid w:val="0057134E"/>
    <w:rsid w:val="005746CB"/>
    <w:rsid w:val="005800DD"/>
    <w:rsid w:val="00585E57"/>
    <w:rsid w:val="00591BDE"/>
    <w:rsid w:val="00591FFA"/>
    <w:rsid w:val="005A17DE"/>
    <w:rsid w:val="005A5F4C"/>
    <w:rsid w:val="005A6868"/>
    <w:rsid w:val="005B0CDF"/>
    <w:rsid w:val="005B2AEB"/>
    <w:rsid w:val="005B3686"/>
    <w:rsid w:val="005B384C"/>
    <w:rsid w:val="005D2135"/>
    <w:rsid w:val="005D321C"/>
    <w:rsid w:val="005D61FD"/>
    <w:rsid w:val="005D6639"/>
    <w:rsid w:val="005D6E0A"/>
    <w:rsid w:val="005D6E47"/>
    <w:rsid w:val="005D6EF9"/>
    <w:rsid w:val="005D744F"/>
    <w:rsid w:val="005F1518"/>
    <w:rsid w:val="005F3956"/>
    <w:rsid w:val="005F5D92"/>
    <w:rsid w:val="00605EFA"/>
    <w:rsid w:val="00615E0F"/>
    <w:rsid w:val="0063061E"/>
    <w:rsid w:val="00636D23"/>
    <w:rsid w:val="00642F95"/>
    <w:rsid w:val="00660DC0"/>
    <w:rsid w:val="00664C39"/>
    <w:rsid w:val="00670144"/>
    <w:rsid w:val="00683943"/>
    <w:rsid w:val="0068425C"/>
    <w:rsid w:val="0069219B"/>
    <w:rsid w:val="0069390C"/>
    <w:rsid w:val="00693C8E"/>
    <w:rsid w:val="006950A1"/>
    <w:rsid w:val="006952BF"/>
    <w:rsid w:val="006A0B21"/>
    <w:rsid w:val="006A4242"/>
    <w:rsid w:val="006A7645"/>
    <w:rsid w:val="006B1AC3"/>
    <w:rsid w:val="006C514C"/>
    <w:rsid w:val="006D475B"/>
    <w:rsid w:val="006D6002"/>
    <w:rsid w:val="006E771F"/>
    <w:rsid w:val="006E7B72"/>
    <w:rsid w:val="007012E6"/>
    <w:rsid w:val="00707AA5"/>
    <w:rsid w:val="007107FE"/>
    <w:rsid w:val="00710F97"/>
    <w:rsid w:val="00715A12"/>
    <w:rsid w:val="00722D6E"/>
    <w:rsid w:val="007351DE"/>
    <w:rsid w:val="00741F8F"/>
    <w:rsid w:val="00747D64"/>
    <w:rsid w:val="0076709D"/>
    <w:rsid w:val="00767B18"/>
    <w:rsid w:val="00792930"/>
    <w:rsid w:val="007B1461"/>
    <w:rsid w:val="007B6C6A"/>
    <w:rsid w:val="007D183A"/>
    <w:rsid w:val="007D410E"/>
    <w:rsid w:val="007D5150"/>
    <w:rsid w:val="007E195E"/>
    <w:rsid w:val="007E3FDF"/>
    <w:rsid w:val="007F097A"/>
    <w:rsid w:val="007F470B"/>
    <w:rsid w:val="008019FB"/>
    <w:rsid w:val="00803374"/>
    <w:rsid w:val="00810946"/>
    <w:rsid w:val="008255F1"/>
    <w:rsid w:val="00825644"/>
    <w:rsid w:val="008257BB"/>
    <w:rsid w:val="00843885"/>
    <w:rsid w:val="00845E0D"/>
    <w:rsid w:val="008474BC"/>
    <w:rsid w:val="0085008A"/>
    <w:rsid w:val="00850A2D"/>
    <w:rsid w:val="0085498C"/>
    <w:rsid w:val="00857E56"/>
    <w:rsid w:val="008811F0"/>
    <w:rsid w:val="008850DE"/>
    <w:rsid w:val="0089405A"/>
    <w:rsid w:val="008953B5"/>
    <w:rsid w:val="00895DB1"/>
    <w:rsid w:val="008A569C"/>
    <w:rsid w:val="008B0583"/>
    <w:rsid w:val="008B07AD"/>
    <w:rsid w:val="008B3515"/>
    <w:rsid w:val="008C2263"/>
    <w:rsid w:val="008C4E97"/>
    <w:rsid w:val="008D06F6"/>
    <w:rsid w:val="008D45D6"/>
    <w:rsid w:val="008E2201"/>
    <w:rsid w:val="00905E53"/>
    <w:rsid w:val="009065F7"/>
    <w:rsid w:val="0091163B"/>
    <w:rsid w:val="00913141"/>
    <w:rsid w:val="009147D4"/>
    <w:rsid w:val="0092083B"/>
    <w:rsid w:val="0092334D"/>
    <w:rsid w:val="0092773E"/>
    <w:rsid w:val="00931E60"/>
    <w:rsid w:val="00932A69"/>
    <w:rsid w:val="009357D5"/>
    <w:rsid w:val="00943BDA"/>
    <w:rsid w:val="00951A2E"/>
    <w:rsid w:val="00957936"/>
    <w:rsid w:val="00966EAF"/>
    <w:rsid w:val="009700D1"/>
    <w:rsid w:val="00970D79"/>
    <w:rsid w:val="00976D60"/>
    <w:rsid w:val="00990BF1"/>
    <w:rsid w:val="009923F6"/>
    <w:rsid w:val="00993662"/>
    <w:rsid w:val="00994AE5"/>
    <w:rsid w:val="0099716C"/>
    <w:rsid w:val="009A130C"/>
    <w:rsid w:val="009A4B1A"/>
    <w:rsid w:val="009B0796"/>
    <w:rsid w:val="009B2758"/>
    <w:rsid w:val="009B4121"/>
    <w:rsid w:val="009B57C3"/>
    <w:rsid w:val="009C4D79"/>
    <w:rsid w:val="009E5FE6"/>
    <w:rsid w:val="009F0187"/>
    <w:rsid w:val="009F6B6F"/>
    <w:rsid w:val="00A021AF"/>
    <w:rsid w:val="00A12695"/>
    <w:rsid w:val="00A13088"/>
    <w:rsid w:val="00A2280A"/>
    <w:rsid w:val="00A27298"/>
    <w:rsid w:val="00A272C7"/>
    <w:rsid w:val="00A319C3"/>
    <w:rsid w:val="00A32AB0"/>
    <w:rsid w:val="00A32F0C"/>
    <w:rsid w:val="00A3405E"/>
    <w:rsid w:val="00A441C6"/>
    <w:rsid w:val="00A53E0E"/>
    <w:rsid w:val="00A5580B"/>
    <w:rsid w:val="00A5649B"/>
    <w:rsid w:val="00A56D96"/>
    <w:rsid w:val="00A714F9"/>
    <w:rsid w:val="00A75F33"/>
    <w:rsid w:val="00A77F1D"/>
    <w:rsid w:val="00A77F7D"/>
    <w:rsid w:val="00A80576"/>
    <w:rsid w:val="00A81028"/>
    <w:rsid w:val="00AA7C46"/>
    <w:rsid w:val="00AB51EA"/>
    <w:rsid w:val="00AB5DE7"/>
    <w:rsid w:val="00AB7784"/>
    <w:rsid w:val="00AC4F85"/>
    <w:rsid w:val="00AF28E9"/>
    <w:rsid w:val="00AF3FD4"/>
    <w:rsid w:val="00AF53AC"/>
    <w:rsid w:val="00AF5BFD"/>
    <w:rsid w:val="00B028E7"/>
    <w:rsid w:val="00B04156"/>
    <w:rsid w:val="00B07128"/>
    <w:rsid w:val="00B07DB1"/>
    <w:rsid w:val="00B14D9D"/>
    <w:rsid w:val="00B16261"/>
    <w:rsid w:val="00B37E15"/>
    <w:rsid w:val="00B415C7"/>
    <w:rsid w:val="00B45C36"/>
    <w:rsid w:val="00B52B14"/>
    <w:rsid w:val="00B54664"/>
    <w:rsid w:val="00B758C7"/>
    <w:rsid w:val="00B803E7"/>
    <w:rsid w:val="00B81E1D"/>
    <w:rsid w:val="00B9213D"/>
    <w:rsid w:val="00B96EBD"/>
    <w:rsid w:val="00BA2567"/>
    <w:rsid w:val="00BC3070"/>
    <w:rsid w:val="00BC7F89"/>
    <w:rsid w:val="00BD0E7E"/>
    <w:rsid w:val="00BD74A9"/>
    <w:rsid w:val="00BE12D3"/>
    <w:rsid w:val="00BF131B"/>
    <w:rsid w:val="00BF7D13"/>
    <w:rsid w:val="00C0449E"/>
    <w:rsid w:val="00C13CF4"/>
    <w:rsid w:val="00C23613"/>
    <w:rsid w:val="00C237F5"/>
    <w:rsid w:val="00C30B3C"/>
    <w:rsid w:val="00C34282"/>
    <w:rsid w:val="00C4346A"/>
    <w:rsid w:val="00C52266"/>
    <w:rsid w:val="00C53208"/>
    <w:rsid w:val="00C548BA"/>
    <w:rsid w:val="00C7181D"/>
    <w:rsid w:val="00C7513A"/>
    <w:rsid w:val="00C9415E"/>
    <w:rsid w:val="00CB01D8"/>
    <w:rsid w:val="00CB3F25"/>
    <w:rsid w:val="00CB6B9F"/>
    <w:rsid w:val="00CC7269"/>
    <w:rsid w:val="00CD43A2"/>
    <w:rsid w:val="00CE05F8"/>
    <w:rsid w:val="00CE1E6B"/>
    <w:rsid w:val="00CE2168"/>
    <w:rsid w:val="00D035ED"/>
    <w:rsid w:val="00D04AAD"/>
    <w:rsid w:val="00D051A6"/>
    <w:rsid w:val="00D15E09"/>
    <w:rsid w:val="00D348D0"/>
    <w:rsid w:val="00D40282"/>
    <w:rsid w:val="00D56CD8"/>
    <w:rsid w:val="00D64482"/>
    <w:rsid w:val="00D827DA"/>
    <w:rsid w:val="00D91BF0"/>
    <w:rsid w:val="00DA25C6"/>
    <w:rsid w:val="00DA475D"/>
    <w:rsid w:val="00DA780C"/>
    <w:rsid w:val="00DC3D4E"/>
    <w:rsid w:val="00DC5070"/>
    <w:rsid w:val="00DD1EDC"/>
    <w:rsid w:val="00DD637C"/>
    <w:rsid w:val="00DF0B51"/>
    <w:rsid w:val="00DF57AC"/>
    <w:rsid w:val="00DF6363"/>
    <w:rsid w:val="00E0241D"/>
    <w:rsid w:val="00E026D8"/>
    <w:rsid w:val="00E03F77"/>
    <w:rsid w:val="00E04488"/>
    <w:rsid w:val="00E057BF"/>
    <w:rsid w:val="00E11368"/>
    <w:rsid w:val="00E15326"/>
    <w:rsid w:val="00E17EBD"/>
    <w:rsid w:val="00E24794"/>
    <w:rsid w:val="00E31DFC"/>
    <w:rsid w:val="00E34FED"/>
    <w:rsid w:val="00E53B07"/>
    <w:rsid w:val="00E80BF0"/>
    <w:rsid w:val="00E9390C"/>
    <w:rsid w:val="00EA1E47"/>
    <w:rsid w:val="00EB7557"/>
    <w:rsid w:val="00EB7CFB"/>
    <w:rsid w:val="00ED1DDC"/>
    <w:rsid w:val="00ED359C"/>
    <w:rsid w:val="00EE3D0C"/>
    <w:rsid w:val="00EE6B9B"/>
    <w:rsid w:val="00EF725D"/>
    <w:rsid w:val="00F066FE"/>
    <w:rsid w:val="00F1379D"/>
    <w:rsid w:val="00F17D1C"/>
    <w:rsid w:val="00F20637"/>
    <w:rsid w:val="00F23C9E"/>
    <w:rsid w:val="00F24099"/>
    <w:rsid w:val="00F40C39"/>
    <w:rsid w:val="00F4129E"/>
    <w:rsid w:val="00F53CA7"/>
    <w:rsid w:val="00F609A5"/>
    <w:rsid w:val="00F678EC"/>
    <w:rsid w:val="00F94567"/>
    <w:rsid w:val="00F95B49"/>
    <w:rsid w:val="00F969F5"/>
    <w:rsid w:val="00FA7CE1"/>
    <w:rsid w:val="00FB026B"/>
    <w:rsid w:val="00FC406C"/>
    <w:rsid w:val="00FF1160"/>
    <w:rsid w:val="00FF39DA"/>
    <w:rsid w:val="00FF6660"/>
    <w:rsid w:val="0593086D"/>
    <w:rsid w:val="06B849E9"/>
    <w:rsid w:val="0B155269"/>
    <w:rsid w:val="0F620C94"/>
    <w:rsid w:val="0FDE70A6"/>
    <w:rsid w:val="10420401"/>
    <w:rsid w:val="108620A6"/>
    <w:rsid w:val="11F40A80"/>
    <w:rsid w:val="139C1766"/>
    <w:rsid w:val="16600BBE"/>
    <w:rsid w:val="17513E7B"/>
    <w:rsid w:val="19D12A76"/>
    <w:rsid w:val="1B8E6888"/>
    <w:rsid w:val="1C2A5D31"/>
    <w:rsid w:val="1CE94097"/>
    <w:rsid w:val="1E793251"/>
    <w:rsid w:val="1EA0694F"/>
    <w:rsid w:val="2252710D"/>
    <w:rsid w:val="22DF3DB7"/>
    <w:rsid w:val="231D0E3C"/>
    <w:rsid w:val="278954B7"/>
    <w:rsid w:val="2E1103F9"/>
    <w:rsid w:val="2E437E04"/>
    <w:rsid w:val="2E824E23"/>
    <w:rsid w:val="3062046D"/>
    <w:rsid w:val="31A601CB"/>
    <w:rsid w:val="331412BC"/>
    <w:rsid w:val="384478F1"/>
    <w:rsid w:val="3A4346F2"/>
    <w:rsid w:val="3B01379B"/>
    <w:rsid w:val="3BA1393C"/>
    <w:rsid w:val="3D2B41F1"/>
    <w:rsid w:val="3E4254F1"/>
    <w:rsid w:val="40B50474"/>
    <w:rsid w:val="4A375A17"/>
    <w:rsid w:val="4B6A037B"/>
    <w:rsid w:val="4B6A3DCD"/>
    <w:rsid w:val="4B9640B5"/>
    <w:rsid w:val="4C176335"/>
    <w:rsid w:val="50C80B68"/>
    <w:rsid w:val="534E23D0"/>
    <w:rsid w:val="5B9975A3"/>
    <w:rsid w:val="5EEA0F31"/>
    <w:rsid w:val="622C6F19"/>
    <w:rsid w:val="626B3C4D"/>
    <w:rsid w:val="631C7BAE"/>
    <w:rsid w:val="63C90B35"/>
    <w:rsid w:val="641A6192"/>
    <w:rsid w:val="653E2ADB"/>
    <w:rsid w:val="6C3D3494"/>
    <w:rsid w:val="6C623DCE"/>
    <w:rsid w:val="6CD50E8E"/>
    <w:rsid w:val="6FF60896"/>
    <w:rsid w:val="70481439"/>
    <w:rsid w:val="723D12BF"/>
    <w:rsid w:val="73E37247"/>
    <w:rsid w:val="7446334B"/>
    <w:rsid w:val="782E56DE"/>
    <w:rsid w:val="78FD788B"/>
    <w:rsid w:val="79431E63"/>
    <w:rsid w:val="79AB2E12"/>
    <w:rsid w:val="7A852BA1"/>
    <w:rsid w:val="7E5039F3"/>
    <w:rsid w:val="7F871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b/>
      <w:bCs/>
      <w:sz w:val="30"/>
    </w:r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iPriority w:val="0"/>
  </w:style>
  <w:style w:type="paragraph" w:customStyle="1" w:styleId="12">
    <w:name w:val="Char"/>
    <w:basedOn w:val="1"/>
    <w:next w:val="1"/>
    <w:uiPriority w:val="0"/>
    <w:pPr>
      <w:keepNext/>
      <w:keepLines/>
      <w:widowControl/>
      <w:adjustRightInd w:val="0"/>
      <w:spacing w:before="40" w:after="40" w:line="360" w:lineRule="auto"/>
      <w:ind w:firstLine="200" w:firstLineChars="200"/>
      <w:outlineLvl w:val="3"/>
    </w:pPr>
    <w:rPr>
      <w:rFonts w:eastAsia="仿宋_GB2312" w:cs="宋体"/>
      <w:b/>
      <w:kern w:val="0"/>
      <w:sz w:val="24"/>
      <w:szCs w:val="28"/>
    </w:rPr>
  </w:style>
  <w:style w:type="paragraph" w:customStyle="1" w:styleId="13">
    <w:name w:val="默认段落字体 Para Char Char Char Char Char Char Char"/>
    <w:basedOn w:val="1"/>
    <w:qFormat/>
    <w:uiPriority w:val="0"/>
    <w:rPr>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image" Target="media/image2.emf"/><Relationship Id="rId13" Type="http://schemas.openxmlformats.org/officeDocument/2006/relationships/oleObject" Target="embeddings/oleObject2.bin"/><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4920;%20&#22312;%202020&#24180;&#32418;&#21313;&#23383;&#20250;&#37096;&#38376;&#20915;&#31639;&#20844;&#24320;.doc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473049927162"/>
          <c:y val="0.0275793650793651"/>
          <c:w val="0.892057343398225"/>
          <c:h val="0.645119047619048"/>
        </c:manualLayout>
      </c:layout>
      <c:barChart>
        <c:barDir val="col"/>
        <c:grouping val="clustered"/>
        <c:varyColors val="0"/>
        <c:ser>
          <c:idx val="0"/>
          <c:order val="0"/>
          <c:tx>
            <c:strRef>
              <c:f>'[工作表 在 2020年红十字会部门决算公开.docx]Sheet1'!$B$1</c:f>
              <c:strCache>
                <c:ptCount val="1"/>
                <c:pt idx="0">
                  <c:v>系列 1</c:v>
                </c:pt>
              </c:strCache>
            </c:strRef>
          </c:tx>
          <c:spPr>
            <a:solidFill>
              <a:schemeClr val="accent1"/>
            </a:solidFill>
            <a:ln>
              <a:noFill/>
            </a:ln>
            <a:effectLst/>
          </c:spPr>
          <c:invertIfNegative val="0"/>
          <c:dLbls>
            <c:dLbl>
              <c:idx val="0"/>
              <c:layout>
                <c:manualLayout>
                  <c:x val="-0.00825877494838266"/>
                  <c:y val="-0.0021994594789819"/>
                </c:manualLayout>
              </c:layout>
              <c:tx>
                <c:rich>
                  <a:bodyPr rot="0" spcFirstLastPara="0" vertOverflow="ellipsis" vert="horz" wrap="square" lIns="38100" tIns="19050" rIns="38100" bIns="19050" anchor="ctr" anchorCtr="1"/>
                  <a:lstStyle/>
                  <a:p>
                    <a:pPr defTabSz="914400">
                      <a:defRPr lang="zh-CN" sz="14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t>8</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4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20767526035424"/>
                  <c:y val="-9.38044544950278e-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4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rot="0" spcFirstLastPara="0" vertOverflow="ellipsis" vert="horz" wrap="square" lIns="38100" tIns="19050" rIns="38100" bIns="19050" anchor="ctr" anchorCtr="1"/>
                  <a:lstStyle/>
                  <a:p>
                    <a:pPr defTabSz="914400">
                      <a:defRPr lang="zh-CN" sz="14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lang="en-US" altLang="zh-CN"/>
                      <a:t>1</a:t>
                    </a:r>
                    <a:endParaRPr lang="en-US" altLang="zh-CN" sz="1400" b="1" i="0" u="none" strike="noStrike" baseline="0">
                      <a:solidFill>
                        <a:srgbClr val="333333">
                          <a:alpha val="100000"/>
                        </a:srgbClr>
                      </a:solidFill>
                      <a:latin typeface="Calibri" panose="020F0502020204030204" pitchFamily="2" charset="0"/>
                      <a:ea typeface="Calibri" panose="020F0502020204030204" pitchFamily="2" charset="0"/>
                      <a:cs typeface="Calibri" panose="020F0502020204030204" pitchFamily="2" charset="0"/>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4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4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[016fef831]Sheet1!$A$2:$A$6</c:f>
              <c:strCache>
                <c:ptCount val="5"/>
                <c:pt idx="0">
                  <c:v>单位实有人员（人）</c:v>
                </c:pt>
                <c:pt idx="1">
                  <c:v>行政</c:v>
                </c:pt>
                <c:pt idx="2">
                  <c:v>事业人员（人）</c:v>
                </c:pt>
                <c:pt idx="3">
                  <c:v>合同制工勤人员（人）</c:v>
                </c:pt>
                <c:pt idx="4">
                  <c:v>离退休人员（人）</c:v>
                </c:pt>
              </c:strCache>
            </c:strRef>
          </c:cat>
          <c:val>
            <c:numRef>
              <c:f>[016fef831]Sheet1!$B$2:$B$6</c:f>
              <c:numCache>
                <c:formatCode>General</c:formatCode>
                <c:ptCount val="5"/>
                <c:pt idx="0">
                  <c:v>8</c:v>
                </c:pt>
                <c:pt idx="1">
                  <c:v>0</c:v>
                </c:pt>
                <c:pt idx="2">
                  <c:v>5</c:v>
                </c:pt>
                <c:pt idx="3">
                  <c:v>2</c:v>
                </c:pt>
                <c:pt idx="4">
                  <c:v>1</c:v>
                </c:pt>
              </c:numCache>
            </c:numRef>
          </c:val>
        </c:ser>
        <c:ser>
          <c:idx val="1"/>
          <c:order val="1"/>
          <c:tx>
            <c:strRef>
              <c:f>'[工作表 在 2020年红十字会部门决算公开.docx]Sheet1'!$C$1</c:f>
              <c:strCache>
                <c:ptCount val="1"/>
                <c:pt idx="0">
                  <c:v/>
                </c:pt>
              </c:strCache>
            </c:strRef>
          </c:tx>
          <c:spPr>
            <a:solidFill>
              <a:schemeClr val="accent2"/>
            </a:solidFill>
            <a:ln>
              <a:noFill/>
            </a:ln>
            <a:effectLst/>
          </c:spPr>
          <c:invertIfNegative val="0"/>
          <c:dLbls>
            <c:delete val="1"/>
          </c:dLbls>
          <c:cat>
            <c:strRef>
              <c:f>[016fef831]Sheet1!$A$2:$A$6</c:f>
              <c:strCache>
                <c:ptCount val="5"/>
                <c:pt idx="0">
                  <c:v>单位实有人员（人）</c:v>
                </c:pt>
                <c:pt idx="1">
                  <c:v>行政</c:v>
                </c:pt>
                <c:pt idx="2">
                  <c:v>事业人员（人）</c:v>
                </c:pt>
                <c:pt idx="3">
                  <c:v>合同制工勤人员（人）</c:v>
                </c:pt>
                <c:pt idx="4">
                  <c:v>离退休人员（人）</c:v>
                </c:pt>
              </c:strCache>
            </c:strRef>
          </c:cat>
          <c:val>
            <c:numRef>
              <c:f>[016fef831]Sheet1!$C$2:$C$6</c:f>
              <c:numCache>
                <c:formatCode>General</c:formatCode>
                <c:ptCount val="5"/>
              </c:numCache>
            </c:numRef>
          </c:val>
        </c:ser>
        <c:dLbls>
          <c:showLegendKey val="0"/>
          <c:showVal val="0"/>
          <c:showCatName val="0"/>
          <c:showSerName val="0"/>
          <c:showPercent val="0"/>
          <c:showBubbleSize val="0"/>
        </c:dLbls>
        <c:gapWidth val="75"/>
        <c:overlap val="0"/>
        <c:axId val="533510063"/>
        <c:axId val="257988874"/>
      </c:barChart>
      <c:catAx>
        <c:axId val="533510063"/>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7988874"/>
        <c:crosses val="autoZero"/>
        <c:auto val="1"/>
        <c:lblAlgn val="ctr"/>
        <c:lblOffset val="100"/>
        <c:noMultiLvlLbl val="0"/>
      </c:catAx>
      <c:valAx>
        <c:axId val="257988874"/>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3510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75221238938054"/>
          <c:y val="0.023049645390071"/>
          <c:w val="0.942477876106196"/>
          <c:h val="0.918439716312057"/>
        </c:manualLayout>
      </c:layout>
      <c:barChart>
        <c:barDir val="col"/>
        <c:grouping val="clustered"/>
        <c:varyColors val="0"/>
        <c:ser>
          <c:idx val="0"/>
          <c:order val="0"/>
          <c:tx>
            <c:strRef>
              <c:f>Sheet1!$B$1</c:f>
              <c:strCache>
                <c:ptCount val="1"/>
                <c:pt idx="0">
                  <c:v/>
                </c:pt>
              </c:strCache>
            </c:strRef>
          </c:tx>
          <c:spPr>
            <a:solidFill>
              <a:srgbClr val="9999FF"/>
            </a:solidFill>
            <a:ln w="7782">
              <a:solidFill>
                <a:srgbClr val="000000"/>
              </a:solidFill>
              <a:prstDash val="solid"/>
            </a:ln>
          </c:spPr>
          <c:invertIfNegative val="0"/>
          <c:dLbls>
            <c:spPr>
              <a:noFill/>
              <a:ln w="15563">
                <a:noFill/>
              </a:ln>
              <a:effectLst/>
            </c:spPr>
            <c:txPr>
              <a:bodyPr rot="0" spcFirstLastPara="0" vertOverflow="ellipsis" vert="horz" wrap="square" lIns="38100" tIns="19050" rIns="38100" bIns="19050" anchor="ctr" anchorCtr="1"/>
              <a:lstStyle/>
              <a:p>
                <a:pPr>
                  <a:defRPr lang="zh-CN" sz="5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4"/>
                <c:pt idx="0">
                  <c:v>2019年收入</c:v>
                </c:pt>
                <c:pt idx="1">
                  <c:v>2020年收入</c:v>
                </c:pt>
                <c:pt idx="2">
                  <c:v>2019年支出</c:v>
                </c:pt>
                <c:pt idx="3">
                  <c:v>2020年支出</c:v>
                </c:pt>
              </c:strCache>
            </c:strRef>
          </c:cat>
          <c:val>
            <c:numRef>
              <c:f>Sheet1!$B$2:$B$7</c:f>
              <c:numCache>
                <c:formatCode>General</c:formatCode>
                <c:ptCount val="6"/>
                <c:pt idx="0">
                  <c:v>75.71</c:v>
                </c:pt>
                <c:pt idx="1">
                  <c:v>72.73</c:v>
                </c:pt>
                <c:pt idx="2">
                  <c:v>75.52</c:v>
                </c:pt>
                <c:pt idx="3">
                  <c:v>74.71</c:v>
                </c:pt>
              </c:numCache>
            </c:numRef>
          </c:val>
        </c:ser>
        <c:ser>
          <c:idx val="1"/>
          <c:order val="1"/>
          <c:tx>
            <c:strRef>
              <c:f>Sheet1!$C$1</c:f>
              <c:strCache>
                <c:ptCount val="1"/>
                <c:pt idx="0">
                  <c:v/>
                </c:pt>
              </c:strCache>
            </c:strRef>
          </c:tx>
          <c:spPr>
            <a:solidFill>
              <a:srgbClr val="993366"/>
            </a:solidFill>
            <a:ln w="7782">
              <a:solidFill>
                <a:srgbClr val="000000"/>
              </a:solidFill>
              <a:prstDash val="solid"/>
            </a:ln>
          </c:spPr>
          <c:invertIfNegative val="0"/>
          <c:dLbls>
            <c:delete val="1"/>
          </c:dLbls>
          <c:cat>
            <c:strRef>
              <c:f>Sheet1!$A$2:$A$7</c:f>
              <c:strCache>
                <c:ptCount val="4"/>
                <c:pt idx="0">
                  <c:v>2019年收入</c:v>
                </c:pt>
                <c:pt idx="1">
                  <c:v>2020年收入</c:v>
                </c:pt>
                <c:pt idx="2">
                  <c:v>2019年支出</c:v>
                </c:pt>
                <c:pt idx="3">
                  <c:v>2020年支出</c:v>
                </c:pt>
              </c:strCache>
            </c:strRef>
          </c:cat>
          <c:val>
            <c:numRef>
              <c:f>Sheet1!$C$2:$C$7</c:f>
              <c:numCache>
                <c:formatCode>General</c:formatCode>
                <c:ptCount val="6"/>
              </c:numCache>
            </c:numRef>
          </c:val>
        </c:ser>
        <c:ser>
          <c:idx val="2"/>
          <c:order val="2"/>
          <c:tx>
            <c:strRef>
              <c:f>Sheet1!$D$1</c:f>
              <c:strCache>
                <c:ptCount val="1"/>
                <c:pt idx="0">
                  <c:v/>
                </c:pt>
              </c:strCache>
            </c:strRef>
          </c:tx>
          <c:spPr>
            <a:solidFill>
              <a:srgbClr val="FFFFCC"/>
            </a:solidFill>
            <a:ln w="7782">
              <a:solidFill>
                <a:srgbClr val="000000"/>
              </a:solidFill>
              <a:prstDash val="solid"/>
            </a:ln>
          </c:spPr>
          <c:invertIfNegative val="0"/>
          <c:dLbls>
            <c:delete val="1"/>
          </c:dLbls>
          <c:cat>
            <c:strRef>
              <c:f>Sheet1!$A$2:$A$7</c:f>
              <c:strCache>
                <c:ptCount val="4"/>
                <c:pt idx="0">
                  <c:v>2019年收入</c:v>
                </c:pt>
                <c:pt idx="1">
                  <c:v>2020年收入</c:v>
                </c:pt>
                <c:pt idx="2">
                  <c:v>2019年支出</c:v>
                </c:pt>
                <c:pt idx="3">
                  <c:v>2020年支出</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163062144"/>
        <c:axId val="163063680"/>
      </c:barChart>
      <c:catAx>
        <c:axId val="163062144"/>
        <c:scaling>
          <c:orientation val="minMax"/>
        </c:scaling>
        <c:delete val="0"/>
        <c:axPos val="b"/>
        <c:numFmt formatCode="General" sourceLinked="1"/>
        <c:majorTickMark val="in"/>
        <c:minorTickMark val="none"/>
        <c:tickLblPos val="nextTo"/>
        <c:spPr>
          <a:ln w="1945" cap="flat" cmpd="sng" algn="ctr">
            <a:solidFill>
              <a:srgbClr val="000000"/>
            </a:solidFill>
            <a:prstDash val="solid"/>
            <a:round/>
          </a:ln>
        </c:spPr>
        <c:txPr>
          <a:bodyPr rot="0" spcFirstLastPara="0" vertOverflow="ellipsis" vert="horz" wrap="square" anchor="ctr" anchorCtr="1"/>
          <a:lstStyle/>
          <a:p>
            <a:pPr>
              <a:defRPr lang="zh-CN" sz="61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63063680"/>
        <c:crosses val="autoZero"/>
        <c:auto val="1"/>
        <c:lblAlgn val="ctr"/>
        <c:lblOffset val="100"/>
        <c:tickLblSkip val="1"/>
        <c:noMultiLvlLbl val="0"/>
      </c:catAx>
      <c:valAx>
        <c:axId val="163063680"/>
        <c:scaling>
          <c:orientation val="minMax"/>
        </c:scaling>
        <c:delete val="0"/>
        <c:axPos val="l"/>
        <c:majorGridlines>
          <c:spPr>
            <a:ln w="1945" cap="flat" cmpd="sng" algn="ctr">
              <a:solidFill>
                <a:srgbClr val="000000"/>
              </a:solidFill>
              <a:prstDash val="solid"/>
              <a:round/>
            </a:ln>
          </c:spPr>
        </c:majorGridlines>
        <c:numFmt formatCode="General" sourceLinked="1"/>
        <c:majorTickMark val="in"/>
        <c:minorTickMark val="none"/>
        <c:tickLblPos val="nextTo"/>
        <c:spPr>
          <a:ln w="1945" cap="flat" cmpd="sng" algn="ctr">
            <a:solidFill>
              <a:srgbClr val="000000"/>
            </a:solidFill>
            <a:prstDash val="solid"/>
            <a:round/>
          </a:ln>
        </c:spPr>
        <c:txPr>
          <a:bodyPr rot="0" spcFirstLastPara="0" vertOverflow="ellipsis" vert="horz" wrap="square" anchor="ctr" anchorCtr="1"/>
          <a:lstStyle/>
          <a:p>
            <a:pPr>
              <a:defRPr lang="zh-CN" sz="61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63062144"/>
        <c:crosses val="autoZero"/>
        <c:crossBetween val="between"/>
      </c:valAx>
      <c:spPr>
        <a:solidFill>
          <a:srgbClr val="C0C0C0"/>
        </a:solidFill>
        <a:ln w="7782">
          <a:solidFill>
            <a:srgbClr val="808080"/>
          </a:solidFill>
          <a:prstDash val="solid"/>
        </a:ln>
      </c:spPr>
    </c:plotArea>
    <c:legend>
      <c:legendPos val="r"/>
      <c:layout>
        <c:manualLayout>
          <c:xMode val="edge"/>
          <c:yMode val="edge"/>
          <c:x val="0.925884955752211"/>
          <c:y val="0.349290780141845"/>
          <c:w val="0.0630530973451329"/>
          <c:h val="0.273049645390071"/>
        </c:manualLayout>
      </c:layout>
      <c:overlay val="0"/>
      <c:spPr>
        <a:solidFill>
          <a:srgbClr val="FFFFFF"/>
        </a:solidFill>
        <a:ln w="1945">
          <a:solidFill>
            <a:srgbClr val="000000"/>
          </a:solidFill>
          <a:prstDash val="solid"/>
        </a:ln>
      </c:spPr>
      <c:txPr>
        <a:bodyPr rot="0" spcFirstLastPara="0" vertOverflow="ellipsis" vert="horz" wrap="square" anchor="ctr" anchorCtr="1"/>
        <a:lstStyle/>
        <a:p>
          <a:pPr>
            <a:defRPr lang="zh-CN" sz="134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0"/>
    <c:dispBlanksAs val="gap"/>
    <c:showDLblsOverMax val="0"/>
  </c:chart>
  <c:spPr>
    <a:noFill/>
    <a:ln w="9525" cap="flat" cmpd="sng" algn="ctr">
      <a:noFill/>
      <a:prstDash val="solid"/>
      <a:round/>
    </a:ln>
  </c:spPr>
  <c:txPr>
    <a:bodyPr/>
    <a:lstStyle/>
    <a:p>
      <a:pPr>
        <a:defRPr lang="zh-CN" sz="145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82866043613707"/>
          <c:y val="0.0438799076212471"/>
          <c:w val="0.85981308411215"/>
          <c:h val="0.877598152424943"/>
        </c:manualLayout>
      </c:layout>
      <c:barChart>
        <c:barDir val="col"/>
        <c:grouping val="clustered"/>
        <c:varyColors val="0"/>
        <c:ser>
          <c:idx val="0"/>
          <c:order val="0"/>
          <c:tx>
            <c:strRef>
              <c:f>Sheet1!$B$2</c:f>
              <c:strCache>
                <c:ptCount val="1"/>
                <c:pt idx="0">
                  <c:v>72.73</c:v>
                </c:pt>
              </c:strCache>
            </c:strRef>
          </c:tx>
          <c:spPr>
            <a:solidFill>
              <a:srgbClr val="9999FF"/>
            </a:solidFill>
            <a:ln w="10251">
              <a:solidFill>
                <a:srgbClr val="000000"/>
              </a:solidFill>
              <a:prstDash val="solid"/>
            </a:ln>
          </c:spPr>
          <c:invertIfNegative val="0"/>
          <c:dLbls>
            <c:spPr>
              <a:noFill/>
              <a:ln w="20501">
                <a:noFill/>
              </a:ln>
              <a:effectLst/>
            </c:spPr>
            <c:txPr>
              <a:bodyPr rot="0" spcFirstLastPara="0" vertOverflow="ellipsis" vert="horz" wrap="square" lIns="38100" tIns="19050" rIns="38100" bIns="19050" anchor="ctr" anchorCtr="1"/>
              <a:lstStyle/>
              <a:p>
                <a:pPr>
                  <a:defRPr lang="zh-CN" sz="4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Sheet1!$A$3:$A$7</c:f>
              <c:strCache>
                <c:ptCount val="3"/>
                <c:pt idx="0">
                  <c:v>财政拨款收入</c:v>
                </c:pt>
                <c:pt idx="1">
                  <c:v>事业收入</c:v>
                </c:pt>
                <c:pt idx="2">
                  <c:v>其它收入</c:v>
                </c:pt>
              </c:strCache>
            </c:strRef>
          </c:cat>
          <c:val>
            <c:numRef>
              <c:f>Sheet1!$B$3:$B$7</c:f>
              <c:numCache>
                <c:formatCode>General</c:formatCode>
                <c:ptCount val="5"/>
                <c:pt idx="0">
                  <c:v>72.73</c:v>
                </c:pt>
                <c:pt idx="1">
                  <c:v>0</c:v>
                </c:pt>
                <c:pt idx="2">
                  <c:v>0</c:v>
                </c:pt>
              </c:numCache>
            </c:numRef>
          </c:val>
        </c:ser>
        <c:ser>
          <c:idx val="1"/>
          <c:order val="1"/>
          <c:tx>
            <c:strRef>
              <c:f>Sheet1!$C$1</c:f>
              <c:strCache>
                <c:ptCount val="1"/>
                <c:pt idx="0">
                  <c:v/>
                </c:pt>
              </c:strCache>
            </c:strRef>
          </c:tx>
          <c:spPr>
            <a:solidFill>
              <a:srgbClr val="993366"/>
            </a:solidFill>
            <a:ln w="10251">
              <a:solidFill>
                <a:srgbClr val="000000"/>
              </a:solidFill>
              <a:prstDash val="solid"/>
            </a:ln>
          </c:spPr>
          <c:invertIfNegative val="0"/>
          <c:dLbls>
            <c:delete val="1"/>
          </c:dLbls>
          <c:cat>
            <c:strRef>
              <c:f>Sheet1!$A$3:$A$7</c:f>
              <c:strCache>
                <c:ptCount val="3"/>
                <c:pt idx="0">
                  <c:v>财政拨款收入</c:v>
                </c:pt>
                <c:pt idx="1">
                  <c:v>事业收入</c:v>
                </c:pt>
                <c:pt idx="2">
                  <c:v>其它收入</c:v>
                </c:pt>
              </c:strCache>
            </c:strRef>
          </c:cat>
          <c:val>
            <c:numRef>
              <c:f>Sheet1!$C$2:$C$7</c:f>
              <c:numCache>
                <c:formatCode>General</c:formatCode>
                <c:ptCount val="6"/>
              </c:numCache>
            </c:numRef>
          </c:val>
        </c:ser>
        <c:ser>
          <c:idx val="2"/>
          <c:order val="2"/>
          <c:tx>
            <c:strRef>
              <c:f>Sheet1!$D$1</c:f>
              <c:strCache>
                <c:ptCount val="1"/>
                <c:pt idx="0">
                  <c:v/>
                </c:pt>
              </c:strCache>
            </c:strRef>
          </c:tx>
          <c:spPr>
            <a:solidFill>
              <a:srgbClr val="FFFFCC"/>
            </a:solidFill>
            <a:ln w="10251">
              <a:solidFill>
                <a:srgbClr val="000000"/>
              </a:solidFill>
              <a:prstDash val="solid"/>
            </a:ln>
          </c:spPr>
          <c:invertIfNegative val="0"/>
          <c:dLbls>
            <c:delete val="1"/>
          </c:dLbls>
          <c:cat>
            <c:strRef>
              <c:f>Sheet1!$A$3:$A$7</c:f>
              <c:strCache>
                <c:ptCount val="3"/>
                <c:pt idx="0">
                  <c:v>财政拨款收入</c:v>
                </c:pt>
                <c:pt idx="1">
                  <c:v>事业收入</c:v>
                </c:pt>
                <c:pt idx="2">
                  <c:v>其它收入</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74677248"/>
        <c:axId val="74699520"/>
      </c:barChart>
      <c:catAx>
        <c:axId val="74677248"/>
        <c:scaling>
          <c:orientation val="minMax"/>
        </c:scaling>
        <c:delete val="0"/>
        <c:axPos val="b"/>
        <c:numFmt formatCode="General" sourceLinked="1"/>
        <c:majorTickMark val="in"/>
        <c:minorTickMark val="none"/>
        <c:tickLblPos val="nextTo"/>
        <c:spPr>
          <a:ln w="2563" cap="flat" cmpd="sng" algn="ctr">
            <a:solidFill>
              <a:srgbClr val="000000"/>
            </a:solidFill>
            <a:prstDash val="solid"/>
            <a:round/>
          </a:ln>
        </c:spPr>
        <c:txPr>
          <a:bodyPr rot="0" spcFirstLastPara="0" vertOverflow="ellipsis" vert="horz" wrap="square" anchor="ctr" anchorCtr="1"/>
          <a:lstStyle/>
          <a:p>
            <a:pPr>
              <a:defRPr lang="zh-CN" sz="4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4699520"/>
        <c:crosses val="autoZero"/>
        <c:auto val="1"/>
        <c:lblAlgn val="ctr"/>
        <c:lblOffset val="100"/>
        <c:tickLblSkip val="1"/>
        <c:noMultiLvlLbl val="0"/>
      </c:catAx>
      <c:valAx>
        <c:axId val="74699520"/>
        <c:scaling>
          <c:orientation val="minMax"/>
        </c:scaling>
        <c:delete val="0"/>
        <c:axPos val="l"/>
        <c:majorGridlines>
          <c:spPr>
            <a:ln w="2563" cap="flat" cmpd="sng" algn="ctr">
              <a:solidFill>
                <a:srgbClr val="000000"/>
              </a:solidFill>
              <a:prstDash val="solid"/>
              <a:round/>
            </a:ln>
          </c:spPr>
        </c:majorGridlines>
        <c:numFmt formatCode="General" sourceLinked="1"/>
        <c:majorTickMark val="in"/>
        <c:minorTickMark val="none"/>
        <c:tickLblPos val="nextTo"/>
        <c:spPr>
          <a:ln w="2563" cap="flat" cmpd="sng" algn="ctr">
            <a:solidFill>
              <a:srgbClr val="000000"/>
            </a:solidFill>
            <a:prstDash val="solid"/>
            <a:round/>
          </a:ln>
        </c:spPr>
        <c:txPr>
          <a:bodyPr rot="0" spcFirstLastPara="0" vertOverflow="ellipsis" vert="horz" wrap="square" anchor="ctr" anchorCtr="1"/>
          <a:lstStyle/>
          <a:p>
            <a:pPr>
              <a:defRPr lang="zh-CN" sz="4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4677248"/>
        <c:crosses val="autoZero"/>
        <c:crossBetween val="between"/>
      </c:valAx>
      <c:spPr>
        <a:solidFill>
          <a:srgbClr val="C0C0C0"/>
        </a:solidFill>
        <a:ln w="10251">
          <a:solidFill>
            <a:srgbClr val="808080"/>
          </a:solidFill>
          <a:prstDash val="solid"/>
        </a:ln>
      </c:spPr>
    </c:plotArea>
    <c:legend>
      <c:legendPos val="r"/>
      <c:layout>
        <c:manualLayout>
          <c:xMode val="edge"/>
          <c:yMode val="edge"/>
          <c:x val="0.928348909657321"/>
          <c:y val="0.429561200923788"/>
          <c:w val="0.0654205607476636"/>
          <c:h val="0.106235565819861"/>
        </c:manualLayout>
      </c:layout>
      <c:overlay val="0"/>
      <c:spPr>
        <a:solidFill>
          <a:srgbClr val="FFFFFF"/>
        </a:solidFill>
        <a:ln w="2563">
          <a:solidFill>
            <a:srgbClr val="000000"/>
          </a:solidFill>
          <a:prstDash val="solid"/>
        </a:ln>
      </c:spPr>
      <c:txPr>
        <a:bodyPr rot="0" spcFirstLastPara="0" vertOverflow="ellipsis" vert="horz" wrap="square" anchor="ctr" anchorCtr="1"/>
        <a:lstStyle/>
        <a:p>
          <a:pPr>
            <a:defRPr lang="zh-CN" sz="38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0"/>
    <c:dispBlanksAs val="gap"/>
    <c:showDLblsOverMax val="0"/>
  </c:chart>
  <c:spPr>
    <a:noFill/>
    <a:ln w="9525" cap="flat" cmpd="sng" algn="ctr">
      <a:noFill/>
      <a:prstDash val="solid"/>
      <a:round/>
    </a:ln>
  </c:spPr>
  <c:txPr>
    <a:bodyPr/>
    <a:lstStyle/>
    <a:p>
      <a:pPr>
        <a:defRPr lang="zh-CN" sz="4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35135135135135"/>
          <c:y val="0.043103448275862"/>
          <c:w val="0.92972972972973"/>
          <c:h val="0.898275862068966"/>
        </c:manualLayout>
      </c:layout>
      <c:barChart>
        <c:barDir val="col"/>
        <c:grouping val="clustered"/>
        <c:varyColors val="0"/>
        <c:ser>
          <c:idx val="0"/>
          <c:order val="0"/>
          <c:tx>
            <c:strRef>
              <c:f>Sheet1!$B$1</c:f>
              <c:strCache>
                <c:ptCount val="1"/>
                <c:pt idx="0">
                  <c:v/>
                </c:pt>
              </c:strCache>
            </c:strRef>
          </c:tx>
          <c:spPr>
            <a:solidFill>
              <a:srgbClr val="9999FF"/>
            </a:solidFill>
            <a:ln w="6631">
              <a:solidFill>
                <a:srgbClr val="000000"/>
              </a:solidFill>
              <a:prstDash val="solid"/>
            </a:ln>
          </c:spPr>
          <c:invertIfNegative val="0"/>
          <c:dLbls>
            <c:spPr>
              <a:noFill/>
              <a:ln w="13262">
                <a:noFill/>
              </a:ln>
              <a:effectLst/>
            </c:spPr>
            <c:txPr>
              <a:bodyPr rot="0" spcFirstLastPara="0" vertOverflow="ellipsis" vert="horz" wrap="square" lIns="38100" tIns="19050" rIns="38100" bIns="19050" anchor="ctr" anchorCtr="1"/>
              <a:lstStyle/>
              <a:p>
                <a:pPr>
                  <a:defRPr lang="zh-CN" sz="5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3"/>
                <c:pt idx="0">
                  <c:v>总支出</c:v>
                </c:pt>
                <c:pt idx="1">
                  <c:v>基本支出</c:v>
                </c:pt>
                <c:pt idx="2">
                  <c:v>项目支出</c:v>
                </c:pt>
              </c:strCache>
            </c:strRef>
          </c:cat>
          <c:val>
            <c:numRef>
              <c:f>Sheet1!$B$2:$B$7</c:f>
              <c:numCache>
                <c:formatCode>General</c:formatCode>
                <c:ptCount val="6"/>
                <c:pt idx="0">
                  <c:v>74.71</c:v>
                </c:pt>
                <c:pt idx="1">
                  <c:v>74.71</c:v>
                </c:pt>
                <c:pt idx="2">
                  <c:v>0</c:v>
                </c:pt>
              </c:numCache>
            </c:numRef>
          </c:val>
        </c:ser>
        <c:ser>
          <c:idx val="1"/>
          <c:order val="1"/>
          <c:tx>
            <c:strRef>
              <c:f>Sheet1!$C$1</c:f>
              <c:strCache>
                <c:ptCount val="1"/>
                <c:pt idx="0">
                  <c:v/>
                </c:pt>
              </c:strCache>
            </c:strRef>
          </c:tx>
          <c:spPr>
            <a:solidFill>
              <a:srgbClr val="993366"/>
            </a:solidFill>
            <a:ln w="6631">
              <a:solidFill>
                <a:srgbClr val="000000"/>
              </a:solidFill>
              <a:prstDash val="solid"/>
            </a:ln>
          </c:spPr>
          <c:invertIfNegative val="0"/>
          <c:dLbls>
            <c:delete val="1"/>
          </c:dLbls>
          <c:cat>
            <c:strRef>
              <c:f>Sheet1!$A$2:$A$7</c:f>
              <c:strCache>
                <c:ptCount val="3"/>
                <c:pt idx="0">
                  <c:v>总支出</c:v>
                </c:pt>
                <c:pt idx="1">
                  <c:v>基本支出</c:v>
                </c:pt>
                <c:pt idx="2">
                  <c:v>项目支出</c:v>
                </c:pt>
              </c:strCache>
            </c:strRef>
          </c:cat>
          <c:val>
            <c:numRef>
              <c:f>Sheet1!$C$2:$C$7</c:f>
              <c:numCache>
                <c:formatCode>General</c:formatCode>
                <c:ptCount val="6"/>
              </c:numCache>
            </c:numRef>
          </c:val>
        </c:ser>
        <c:ser>
          <c:idx val="2"/>
          <c:order val="2"/>
          <c:tx>
            <c:strRef>
              <c:f>Sheet1!$D$1</c:f>
              <c:strCache>
                <c:ptCount val="1"/>
                <c:pt idx="0">
                  <c:v/>
                </c:pt>
              </c:strCache>
            </c:strRef>
          </c:tx>
          <c:spPr>
            <a:solidFill>
              <a:srgbClr val="FFFFCC"/>
            </a:solidFill>
            <a:ln w="6631">
              <a:solidFill>
                <a:srgbClr val="000000"/>
              </a:solidFill>
              <a:prstDash val="solid"/>
            </a:ln>
          </c:spPr>
          <c:invertIfNegative val="0"/>
          <c:dLbls>
            <c:delete val="1"/>
          </c:dLbls>
          <c:cat>
            <c:strRef>
              <c:f>Sheet1!$A$2:$A$7</c:f>
              <c:strCache>
                <c:ptCount val="3"/>
                <c:pt idx="0">
                  <c:v>总支出</c:v>
                </c:pt>
                <c:pt idx="1">
                  <c:v>基本支出</c:v>
                </c:pt>
                <c:pt idx="2">
                  <c:v>项目支出</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74639232"/>
        <c:axId val="74640768"/>
      </c:barChart>
      <c:catAx>
        <c:axId val="74639232"/>
        <c:scaling>
          <c:orientation val="minMax"/>
        </c:scaling>
        <c:delete val="0"/>
        <c:axPos val="b"/>
        <c:numFmt formatCode="General" sourceLinked="1"/>
        <c:majorTickMark val="in"/>
        <c:minorTickMark val="none"/>
        <c:tickLblPos val="nextTo"/>
        <c:spPr>
          <a:ln w="1658" cap="flat" cmpd="sng" algn="ctr">
            <a:solidFill>
              <a:srgbClr val="000000"/>
            </a:solidFill>
            <a:prstDash val="solid"/>
            <a:round/>
          </a:ln>
        </c:spPr>
        <c:txPr>
          <a:bodyPr rot="0" spcFirstLastPara="0" vertOverflow="ellipsis" vert="horz" wrap="square" anchor="ctr" anchorCtr="1"/>
          <a:lstStyle/>
          <a:p>
            <a:pPr>
              <a:defRPr lang="zh-CN" sz="5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4640768"/>
        <c:crosses val="autoZero"/>
        <c:auto val="1"/>
        <c:lblAlgn val="ctr"/>
        <c:lblOffset val="100"/>
        <c:tickLblSkip val="1"/>
        <c:noMultiLvlLbl val="0"/>
      </c:catAx>
      <c:valAx>
        <c:axId val="74640768"/>
        <c:scaling>
          <c:orientation val="minMax"/>
        </c:scaling>
        <c:delete val="0"/>
        <c:axPos val="l"/>
        <c:majorGridlines>
          <c:spPr>
            <a:ln w="1658" cap="flat" cmpd="sng" algn="ctr">
              <a:solidFill>
                <a:srgbClr val="000000"/>
              </a:solidFill>
              <a:prstDash val="solid"/>
              <a:round/>
            </a:ln>
          </c:spPr>
        </c:majorGridlines>
        <c:numFmt formatCode="General" sourceLinked="0"/>
        <c:majorTickMark val="in"/>
        <c:minorTickMark val="none"/>
        <c:tickLblPos val="nextTo"/>
        <c:spPr>
          <a:ln w="1658" cap="flat" cmpd="sng" algn="ctr">
            <a:solidFill>
              <a:srgbClr val="000000"/>
            </a:solidFill>
            <a:prstDash val="solid"/>
            <a:round/>
          </a:ln>
        </c:spPr>
        <c:txPr>
          <a:bodyPr rot="0" spcFirstLastPara="0" vertOverflow="ellipsis" vert="horz" wrap="square" anchor="ctr" anchorCtr="1"/>
          <a:lstStyle/>
          <a:p>
            <a:pPr>
              <a:defRPr lang="zh-CN" sz="5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4639232"/>
        <c:crosses val="autoZero"/>
        <c:crossBetween val="between"/>
      </c:valAx>
      <c:spPr>
        <a:solidFill>
          <a:srgbClr val="C0C0C0"/>
        </a:solidFill>
        <a:ln w="6631">
          <a:solidFill>
            <a:srgbClr val="808080"/>
          </a:solidFill>
          <a:prstDash val="solid"/>
        </a:ln>
      </c:spPr>
    </c:plotArea>
    <c:legend>
      <c:legendPos val="r"/>
      <c:layout>
        <c:manualLayout>
          <c:xMode val="edge"/>
          <c:yMode val="edge"/>
          <c:x val="0.925675675675677"/>
          <c:y val="0.325862068965518"/>
          <c:w val="0.0648648648648649"/>
          <c:h val="0.229310344827586"/>
        </c:manualLayout>
      </c:layout>
      <c:overlay val="0"/>
      <c:spPr>
        <a:solidFill>
          <a:srgbClr val="FFFFFF"/>
        </a:solidFill>
        <a:ln w="1658">
          <a:solidFill>
            <a:srgbClr val="000000"/>
          </a:solidFill>
          <a:prstDash val="solid"/>
        </a:ln>
      </c:spPr>
      <c:txPr>
        <a:bodyPr rot="0" spcFirstLastPara="0" vertOverflow="ellipsis" vert="horz" wrap="square" anchor="ctr" anchorCtr="1"/>
        <a:lstStyle/>
        <a:p>
          <a:pPr>
            <a:defRPr lang="zh-CN" sz="93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0"/>
    <c:dispBlanksAs val="gap"/>
    <c:showDLblsOverMax val="0"/>
  </c:chart>
  <c:spPr>
    <a:noFill/>
    <a:ln w="9525" cap="flat" cmpd="sng" algn="ctr">
      <a:noFill/>
      <a:prstDash val="solid"/>
      <a:round/>
    </a:ln>
  </c:spPr>
  <c:txPr>
    <a:bodyPr/>
    <a:lstStyle/>
    <a:p>
      <a:pPr>
        <a:defRPr lang="zh-CN" sz="102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7124183006536"/>
          <c:y val="0.0424778761061947"/>
          <c:w val="0.922875816993466"/>
          <c:h val="0.897345132743363"/>
        </c:manualLayout>
      </c:layout>
      <c:barChart>
        <c:barDir val="col"/>
        <c:grouping val="clustered"/>
        <c:varyColors val="0"/>
        <c:ser>
          <c:idx val="0"/>
          <c:order val="0"/>
          <c:tx>
            <c:strRef>
              <c:f>Sheet1!$B$1</c:f>
              <c:strCache>
                <c:ptCount val="1"/>
                <c:pt idx="0">
                  <c:v/>
                </c:pt>
              </c:strCache>
            </c:strRef>
          </c:tx>
          <c:spPr>
            <a:solidFill>
              <a:srgbClr val="9999FF"/>
            </a:solidFill>
            <a:ln w="5575">
              <a:solidFill>
                <a:srgbClr val="000000"/>
              </a:solidFill>
              <a:prstDash val="solid"/>
            </a:ln>
          </c:spPr>
          <c:invertIfNegative val="0"/>
          <c:dLbls>
            <c:spPr>
              <a:noFill/>
              <a:ln w="11149">
                <a:noFill/>
              </a:ln>
              <a:effectLst/>
            </c:spPr>
            <c:txPr>
              <a:bodyPr rot="0" spcFirstLastPara="0" vertOverflow="ellipsis" vert="horz" wrap="square" lIns="38100" tIns="19050" rIns="38100" bIns="19050" anchor="ctr" anchorCtr="1"/>
              <a:lstStyle/>
              <a:p>
                <a:pPr>
                  <a:defRPr lang="zh-CN" sz="38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2"/>
                <c:pt idx="0">
                  <c:v>财政拨款收入</c:v>
                </c:pt>
                <c:pt idx="1">
                  <c:v>财政拨款支出</c:v>
                </c:pt>
              </c:strCache>
            </c:strRef>
          </c:cat>
          <c:val>
            <c:numRef>
              <c:f>Sheet1!$B$2:$B$7</c:f>
              <c:numCache>
                <c:formatCode>General</c:formatCode>
                <c:ptCount val="6"/>
                <c:pt idx="0">
                  <c:v>72.73</c:v>
                </c:pt>
                <c:pt idx="1">
                  <c:v>74.71</c:v>
                </c:pt>
              </c:numCache>
            </c:numRef>
          </c:val>
        </c:ser>
        <c:ser>
          <c:idx val="1"/>
          <c:order val="1"/>
          <c:tx>
            <c:strRef>
              <c:f>Sheet1!$C$1</c:f>
              <c:strCache>
                <c:ptCount val="1"/>
                <c:pt idx="0">
                  <c:v/>
                </c:pt>
              </c:strCache>
            </c:strRef>
          </c:tx>
          <c:spPr>
            <a:solidFill>
              <a:srgbClr val="993366"/>
            </a:solidFill>
            <a:ln w="5575">
              <a:solidFill>
                <a:srgbClr val="000000"/>
              </a:solidFill>
              <a:prstDash val="solid"/>
            </a:ln>
          </c:spPr>
          <c:invertIfNegative val="0"/>
          <c:dLbls>
            <c:delete val="1"/>
          </c:dLbls>
          <c:cat>
            <c:strRef>
              <c:f>Sheet1!$A$2:$A$7</c:f>
              <c:strCache>
                <c:ptCount val="2"/>
                <c:pt idx="0">
                  <c:v>财政拨款收入</c:v>
                </c:pt>
                <c:pt idx="1">
                  <c:v>财政拨款支出</c:v>
                </c:pt>
              </c:strCache>
            </c:strRef>
          </c:cat>
          <c:val>
            <c:numRef>
              <c:f>Sheet1!$C$2:$C$7</c:f>
              <c:numCache>
                <c:formatCode>General</c:formatCode>
                <c:ptCount val="6"/>
              </c:numCache>
            </c:numRef>
          </c:val>
        </c:ser>
        <c:ser>
          <c:idx val="2"/>
          <c:order val="2"/>
          <c:tx>
            <c:strRef>
              <c:f>Sheet1!$D$1</c:f>
              <c:strCache>
                <c:ptCount val="1"/>
                <c:pt idx="0">
                  <c:v/>
                </c:pt>
              </c:strCache>
            </c:strRef>
          </c:tx>
          <c:spPr>
            <a:solidFill>
              <a:srgbClr val="FFFFCC"/>
            </a:solidFill>
            <a:ln w="5575">
              <a:solidFill>
                <a:srgbClr val="000000"/>
              </a:solidFill>
              <a:prstDash val="solid"/>
            </a:ln>
          </c:spPr>
          <c:invertIfNegative val="0"/>
          <c:dLbls>
            <c:delete val="1"/>
          </c:dLbls>
          <c:cat>
            <c:strRef>
              <c:f>Sheet1!$A$2:$A$7</c:f>
              <c:strCache>
                <c:ptCount val="2"/>
                <c:pt idx="0">
                  <c:v>财政拨款收入</c:v>
                </c:pt>
                <c:pt idx="1">
                  <c:v>财政拨款支出</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74814208"/>
        <c:axId val="74815744"/>
      </c:barChart>
      <c:catAx>
        <c:axId val="74814208"/>
        <c:scaling>
          <c:orientation val="minMax"/>
        </c:scaling>
        <c:delete val="0"/>
        <c:axPos val="b"/>
        <c:numFmt formatCode="General" sourceLinked="1"/>
        <c:majorTickMark val="in"/>
        <c:minorTickMark val="none"/>
        <c:tickLblPos val="nextTo"/>
        <c:spPr>
          <a:ln w="1394" cap="flat" cmpd="sng" algn="ctr">
            <a:solidFill>
              <a:srgbClr val="000000"/>
            </a:solidFill>
            <a:prstDash val="solid"/>
            <a:round/>
          </a:ln>
        </c:spPr>
        <c:txPr>
          <a:bodyPr rot="0" spcFirstLastPara="0" vertOverflow="ellipsis" vert="horz" wrap="square" anchor="ctr" anchorCtr="1"/>
          <a:lstStyle/>
          <a:p>
            <a:pPr>
              <a:defRPr lang="zh-CN" sz="44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4815744"/>
        <c:crosses val="autoZero"/>
        <c:auto val="1"/>
        <c:lblAlgn val="ctr"/>
        <c:lblOffset val="100"/>
        <c:tickLblSkip val="1"/>
        <c:noMultiLvlLbl val="0"/>
      </c:catAx>
      <c:valAx>
        <c:axId val="74815744"/>
        <c:scaling>
          <c:orientation val="minMax"/>
        </c:scaling>
        <c:delete val="0"/>
        <c:axPos val="l"/>
        <c:majorGridlines>
          <c:spPr>
            <a:ln w="1394" cap="flat" cmpd="sng" algn="ctr">
              <a:solidFill>
                <a:srgbClr val="000000"/>
              </a:solidFill>
              <a:prstDash val="solid"/>
              <a:round/>
            </a:ln>
          </c:spPr>
        </c:majorGridlines>
        <c:numFmt formatCode="General" sourceLinked="1"/>
        <c:majorTickMark val="in"/>
        <c:minorTickMark val="none"/>
        <c:tickLblPos val="nextTo"/>
        <c:spPr>
          <a:ln w="1394" cap="flat" cmpd="sng" algn="ctr">
            <a:solidFill>
              <a:srgbClr val="000000"/>
            </a:solidFill>
            <a:prstDash val="solid"/>
            <a:round/>
          </a:ln>
        </c:spPr>
        <c:txPr>
          <a:bodyPr rot="0" spcFirstLastPara="0" vertOverflow="ellipsis" vert="horz" wrap="square" anchor="ctr" anchorCtr="1"/>
          <a:lstStyle/>
          <a:p>
            <a:pPr>
              <a:defRPr lang="zh-CN" sz="38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4814208"/>
        <c:crosses val="autoZero"/>
        <c:crossBetween val="between"/>
      </c:valAx>
      <c:spPr>
        <a:solidFill>
          <a:srgbClr val="C0C0C0"/>
        </a:solidFill>
        <a:ln w="5575">
          <a:solidFill>
            <a:srgbClr val="808080"/>
          </a:solidFill>
          <a:prstDash val="solid"/>
        </a:ln>
      </c:spPr>
    </c:plotArea>
    <c:legend>
      <c:legendPos val="r"/>
      <c:layout>
        <c:manualLayout>
          <c:xMode val="edge"/>
          <c:yMode val="edge"/>
          <c:x val="0.966013071895425"/>
          <c:y val="0.398230088495575"/>
          <c:w val="0.0261437908496733"/>
          <c:h val="0.0973451327433628"/>
        </c:manualLayout>
      </c:layout>
      <c:overlay val="0"/>
      <c:spPr>
        <a:solidFill>
          <a:srgbClr val="FFFFFF"/>
        </a:solidFill>
        <a:ln w="1394">
          <a:solidFill>
            <a:srgbClr val="000000"/>
          </a:solidFill>
          <a:prstDash val="solid"/>
        </a:ln>
      </c:spPr>
      <c:txPr>
        <a:bodyPr rot="0" spcFirstLastPara="0" vertOverflow="ellipsis" vert="horz" wrap="square" anchor="ctr" anchorCtr="1"/>
        <a:lstStyle/>
        <a:p>
          <a:pPr>
            <a:defRPr lang="zh-CN" sz="3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0"/>
    <c:dispBlanksAs val="gap"/>
    <c:showDLblsOverMax val="0"/>
  </c:chart>
  <c:spPr>
    <a:noFill/>
    <a:ln w="9525" cap="flat" cmpd="sng" algn="ctr">
      <a:noFill/>
      <a:prstDash val="solid"/>
      <a:round/>
    </a:ln>
  </c:spPr>
  <c:txPr>
    <a:bodyPr/>
    <a:lstStyle/>
    <a:p>
      <a:pPr>
        <a:defRPr lang="zh-CN" sz="3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94308943089432"/>
          <c:y val="0.0695364238410598"/>
          <c:w val="0.910569105691056"/>
          <c:h val="0.870860927152318"/>
        </c:manualLayout>
      </c:layout>
      <c:barChart>
        <c:barDir val="col"/>
        <c:grouping val="clustered"/>
        <c:varyColors val="0"/>
        <c:ser>
          <c:idx val="0"/>
          <c:order val="0"/>
          <c:tx>
            <c:strRef>
              <c:f>Sheet1!$B$1</c:f>
              <c:strCache>
                <c:ptCount val="1"/>
                <c:pt idx="0">
                  <c:v/>
                </c:pt>
              </c:strCache>
            </c:strRef>
          </c:tx>
          <c:spPr>
            <a:solidFill>
              <a:srgbClr val="9999FF"/>
            </a:solidFill>
            <a:ln w="14069">
              <a:solidFill>
                <a:srgbClr val="000000"/>
              </a:solidFill>
              <a:prstDash val="solid"/>
            </a:ln>
          </c:spPr>
          <c:invertIfNegative val="0"/>
          <c:dLbls>
            <c:spPr>
              <a:noFill/>
              <a:ln w="28138">
                <a:noFill/>
              </a:ln>
              <a:effectLst/>
            </c:spPr>
            <c:txPr>
              <a:bodyPr rot="0" spcFirstLastPara="0" vertOverflow="ellipsis" vert="horz" wrap="square" lIns="38100" tIns="19050" rIns="38100" bIns="19050" anchor="ctr" anchorCtr="1"/>
              <a:lstStyle/>
              <a:p>
                <a:pPr>
                  <a:defRPr lang="zh-CN" sz="5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因公出国费</c:v>
                </c:pt>
                <c:pt idx="1">
                  <c:v>公务用车购置费</c:v>
                </c:pt>
                <c:pt idx="2">
                  <c:v>公务用车运行维护费</c:v>
                </c:pt>
                <c:pt idx="3">
                  <c:v>业务招待费</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
                </c:pt>
              </c:strCache>
            </c:strRef>
          </c:tx>
          <c:spPr>
            <a:solidFill>
              <a:srgbClr val="993366"/>
            </a:solidFill>
            <a:ln w="14069">
              <a:solidFill>
                <a:srgbClr val="000000"/>
              </a:solidFill>
              <a:prstDash val="solid"/>
            </a:ln>
          </c:spPr>
          <c:invertIfNegative val="0"/>
          <c:dLbls>
            <c:delete val="1"/>
          </c:dLbls>
          <c:cat>
            <c:strRef>
              <c:f>Sheet1!$A$2:$A$5</c:f>
              <c:strCache>
                <c:ptCount val="4"/>
                <c:pt idx="0">
                  <c:v>因公出国费</c:v>
                </c:pt>
                <c:pt idx="1">
                  <c:v>公务用车购置费</c:v>
                </c:pt>
                <c:pt idx="2">
                  <c:v>公务用车运行维护费</c:v>
                </c:pt>
                <c:pt idx="3">
                  <c:v>业务招待费</c:v>
                </c:pt>
              </c:strCache>
            </c:strRef>
          </c:cat>
          <c:val>
            <c:numRef>
              <c:f>Sheet1!$C$2:$C$5</c:f>
              <c:numCache>
                <c:formatCode>General</c:formatCode>
                <c:ptCount val="4"/>
              </c:numCache>
            </c:numRef>
          </c:val>
        </c:ser>
        <c:ser>
          <c:idx val="2"/>
          <c:order val="2"/>
          <c:tx>
            <c:strRef>
              <c:f>Sheet1!#REF!</c:f>
              <c:strCache>
                <c:ptCount val="1"/>
                <c:pt idx="0">
                  <c:v>#REF!</c:v>
                </c:pt>
              </c:strCache>
            </c:strRef>
          </c:tx>
          <c:spPr>
            <a:noFill/>
            <a:ln w="28138">
              <a:noFill/>
            </a:ln>
          </c:spPr>
          <c:invertIfNegative val="0"/>
          <c:dLbls>
            <c:delete val="1"/>
          </c:dLbls>
          <c:cat>
            <c:strRef>
              <c:f>Sheet1!$A$2:$A$5</c:f>
              <c:strCache>
                <c:ptCount val="4"/>
                <c:pt idx="0">
                  <c:v>因公出国费</c:v>
                </c:pt>
                <c:pt idx="1">
                  <c:v>公务用车购置费</c:v>
                </c:pt>
                <c:pt idx="2">
                  <c:v>公务用车运行维护费</c:v>
                </c:pt>
                <c:pt idx="3">
                  <c:v>业务招待费</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150"/>
        <c:axId val="74718592"/>
        <c:axId val="74744960"/>
      </c:barChart>
      <c:catAx>
        <c:axId val="74718592"/>
        <c:scaling>
          <c:orientation val="minMax"/>
        </c:scaling>
        <c:delete val="0"/>
        <c:axPos val="b"/>
        <c:numFmt formatCode="General" sourceLinked="1"/>
        <c:majorTickMark val="in"/>
        <c:minorTickMark val="none"/>
        <c:tickLblPos val="nextTo"/>
        <c:spPr>
          <a:ln w="3517" cap="flat" cmpd="sng" algn="ctr">
            <a:solidFill>
              <a:srgbClr val="000000"/>
            </a:solidFill>
            <a:prstDash val="solid"/>
            <a:round/>
          </a:ln>
        </c:spPr>
        <c:txPr>
          <a:bodyPr rot="0" spcFirstLastPara="0" vertOverflow="ellipsis" vert="horz" wrap="square" anchor="ctr" anchorCtr="1"/>
          <a:lstStyle/>
          <a:p>
            <a:pPr>
              <a:defRPr lang="zh-CN" sz="41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4744960"/>
        <c:crosses val="autoZero"/>
        <c:auto val="1"/>
        <c:lblAlgn val="ctr"/>
        <c:lblOffset val="100"/>
        <c:tickLblSkip val="1"/>
        <c:noMultiLvlLbl val="0"/>
      </c:catAx>
      <c:valAx>
        <c:axId val="74744960"/>
        <c:scaling>
          <c:orientation val="minMax"/>
        </c:scaling>
        <c:delete val="0"/>
        <c:axPos val="l"/>
        <c:majorGridlines>
          <c:spPr>
            <a:ln w="3517" cap="flat" cmpd="sng" algn="ctr">
              <a:solidFill>
                <a:srgbClr val="000000"/>
              </a:solidFill>
              <a:prstDash val="solid"/>
              <a:round/>
            </a:ln>
          </c:spPr>
        </c:majorGridlines>
        <c:numFmt formatCode="General" sourceLinked="1"/>
        <c:majorTickMark val="in"/>
        <c:minorTickMark val="none"/>
        <c:tickLblPos val="nextTo"/>
        <c:spPr>
          <a:ln w="3517" cap="flat" cmpd="sng" algn="ctr">
            <a:solidFill>
              <a:srgbClr val="000000"/>
            </a:solidFill>
            <a:prstDash val="solid"/>
            <a:round/>
          </a:ln>
        </c:spPr>
        <c:txPr>
          <a:bodyPr rot="0" spcFirstLastPara="0" vertOverflow="ellipsis" vert="horz" wrap="square" anchor="ctr" anchorCtr="1"/>
          <a:lstStyle/>
          <a:p>
            <a:pPr>
              <a:defRPr lang="zh-CN" sz="5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74718592"/>
        <c:crosses val="autoZero"/>
        <c:crossBetween val="between"/>
      </c:valAx>
      <c:spPr>
        <a:solidFill>
          <a:srgbClr val="C0C0C0"/>
        </a:solidFill>
        <a:ln w="28138">
          <a:noFill/>
        </a:ln>
      </c:spPr>
    </c:plotArea>
    <c:legend>
      <c:legendPos val="r"/>
      <c:layout>
        <c:manualLayout>
          <c:xMode val="edge"/>
          <c:yMode val="edge"/>
          <c:x val="0.932249322493226"/>
          <c:y val="0.483443708609272"/>
          <c:w val="0.040650406504065"/>
          <c:h val="0.0927152317880795"/>
        </c:manualLayout>
      </c:layout>
      <c:overlay val="0"/>
      <c:spPr>
        <a:solidFill>
          <a:srgbClr val="FFFFFF"/>
        </a:solidFill>
        <a:ln w="3517">
          <a:solidFill>
            <a:srgbClr val="000000"/>
          </a:solidFill>
          <a:prstDash val="solid"/>
        </a:ln>
      </c:spPr>
      <c:txPr>
        <a:bodyPr rot="0" spcFirstLastPara="0" vertOverflow="ellipsis" vert="horz" wrap="square" anchor="ctr" anchorCtr="1"/>
        <a:lstStyle/>
        <a:p>
          <a:pPr>
            <a:defRPr lang="zh-CN" sz="11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0"/>
    <c:dispBlanksAs val="gap"/>
    <c:showDLblsOverMax val="0"/>
  </c:chart>
  <c:spPr>
    <a:noFill/>
    <a:ln w="9525" cap="flat" cmpd="sng" algn="ctr">
      <a:noFill/>
      <a:prstDash val="solid"/>
      <a:round/>
    </a:ln>
  </c:spPr>
  <c:txPr>
    <a:bodyPr/>
    <a:lstStyle/>
    <a:p>
      <a:pPr>
        <a:defRPr lang="zh-CN" sz="108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1683</Words>
  <Characters>9595</Characters>
  <Lines>79</Lines>
  <Paragraphs>22</Paragraphs>
  <TotalTime>3</TotalTime>
  <ScaleCrop>false</ScaleCrop>
  <LinksUpToDate>false</LinksUpToDate>
  <CharactersWithSpaces>11256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2021-09-09T00:58:00Z</dcterms:created>
  <dc:creator>gkk</dc:creator>
  <cp:lastModifiedBy>九步皆爱</cp:lastModifiedBy>
  <cp:lastPrinted>2017-09-20T02:48:00Z</cp:lastPrinted>
  <dcterms:modified xsi:type="dcterms:W3CDTF">2021-09-26T06:44:20Z</dcterms:modified>
  <dc:title>商财办库〔2013〕10号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A943C0D7D8934D3D9090274E3092D840</vt:lpwstr>
  </property>
</Properties>
</file>