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wordWrap w:val="0"/>
        <w:spacing w:line="560" w:lineRule="exact"/>
        <w:jc w:val="right"/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镇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农</w:t>
      </w:r>
      <w:r>
        <w:rPr>
          <w:rFonts w:hint="eastAsia" w:ascii="仿宋_GB2312" w:hAnsi="方正小标宋简体" w:eastAsia="仿宋_GB2312"/>
          <w:sz w:val="32"/>
          <w:szCs w:val="32"/>
        </w:rPr>
        <w:t>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〔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4〕6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镇安县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农业农村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对县十九届人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大三次会议第33号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建议的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李永燕代表：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/>
          <w:bCs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您提出的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《关于平衡村域发展扶持政策的建议》（第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）收悉，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/>
          <w:sz w:val="32"/>
          <w:szCs w:val="32"/>
          <w:lang w:eastAsia="zh-CN"/>
        </w:rPr>
        <w:t>答复</w:t>
      </w:r>
      <w:r>
        <w:rPr>
          <w:rFonts w:hint="eastAsia" w:ascii="仿宋_GB2312" w:eastAsia="仿宋_GB2312"/>
          <w:sz w:val="3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  <w:t>一、目前政策情况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lang w:val="en-US" w:eastAsia="zh-CN"/>
        </w:rPr>
        <w:t>，省财政厅等六部门联合印发了《陕西省财政衔接推进乡村振兴补助资金管理办法》（陕财办农〔2021〕30号），办法中第九条明确，“各县要在确保满足巩固拓展脱贫攻坚成果资金需求的前提下，兼顾脱贫村和非脱贫村实际情况，统筹使用中央和省级衔接资金，安排资金项目，推进县域内均衡发展。县级可统筹安排不超过30%的到县中央衔接资金，支持非贫困村发展产业、补齐必要的基础设施短板及县级乡村振兴规划相关项目。”</w:t>
      </w:r>
      <w:r>
        <w:rPr>
          <w:rFonts w:hint="eastAsia" w:ascii="仿宋_GB2312" w:hAnsi="仿宋_GB2312" w:cs="仿宋_GB2312"/>
          <w:lang w:val="en-US" w:eastAsia="zh-CN"/>
        </w:rPr>
        <w:t>同时，中省衔接资金绩效评价要求，中省衔接资金用于产业项目占比从2021-2025年分别不低于50%、55%、60%、65%、70%。受资金政策限制，每年安排用于非贫困村的基础设施类项目还不足。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0"/>
          <w:lang w:val="en-US" w:eastAsia="zh-CN" w:bidi="ar-SA"/>
        </w:rPr>
        <w:t>二、我县具体做法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eastAsia="zh-CN"/>
        </w:rPr>
        <w:t>一是加大资金支持。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eastAsia="zh-CN"/>
        </w:rPr>
        <w:t>我县西口回族镇被确定为省级重点帮扶镇，柴坪镇建国村、达仁镇春光村等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val="en-US" w:eastAsia="zh-CN"/>
        </w:rPr>
        <w:t>41个村为省级重点帮扶村，其中有永乐街道王家坪社区、米粮江西村等25个村为非贫困村。在中央和省级财政推进乡村振兴衔接补助资金分配中，我们将乡村振兴重点帮扶镇、重点帮扶村作为一项重要的分配类型，按照重点帮扶镇每年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val="en-US" w:eastAsia="zh-CN"/>
        </w:rPr>
        <w:t>00万元、重点帮扶村每年120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val="en-US" w:eastAsia="zh-CN"/>
        </w:rPr>
        <w:t>万元的标准给予支持，其中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val="en-US" w:eastAsia="zh-CN"/>
        </w:rPr>
        <w:t>市级按照重点帮扶镇每年不少于100万元、重点帮扶村每年不少于20万元的标准给予支持。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0"/>
          <w:lang w:eastAsia="zh-CN"/>
        </w:rPr>
        <w:t>二是推进政策落实。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eastAsia="zh-CN"/>
        </w:rPr>
        <w:t>为加快发展优势特色产业，促进农民收入稳定增长，持续巩固拓展脱贫攻坚成果，全面推进乡村振兴，结合实际制定《镇安县实施乡村振兴战略农业产业扶持办法》，扶持补助对象为镇安县境内发展茶叶、蚕桑、烤烟、魔芋、中药材、板栗、核桃、食用菌、畜牧养殖、水产养殖、粮油、蔬菜、水果、小加工、小商贸等产业的脱贫户、监测户，以及带动10户以上脱贫户、监测户发展上述种米产业的农业企业、农民专业合作社、家庭农场、村集体经济组织、专业大户等经营主体，给予一定的补助，支持发展致富和做大做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  <w:t>三是强化乡村建设。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坚持以秦岭山水乡村建设为抓手，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eastAsia="zh-CN"/>
        </w:rPr>
        <w:t>围绕建设宜居宜业和美乡村，采取“四个明确”“四个结合”（四个明确：即加强领导、明确责任，摸清底数、明确任务，多方投入、明确筹资，严把质量、明确标准；四个结合：即与全县41个乡村振兴重点帮扶村结合，与全县10个国家典型调查项目村结合，与80个村庄规划编制村结合，与重点项目结合）工作措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2022-2023年成功创建95个康养、宜居、旅游示范村，2024年全县上下着力创建39个秦岭山水乡村建设示范村，全面打造我县产业发展融合、基础设施完备、公共服务便利、人居环境舒适、村民宜居宜业的和美乡村。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20"/>
          <w:lang w:val="en-US" w:eastAsia="zh-CN" w:bidi="ar-SA"/>
        </w:rPr>
        <w:t>三、今后工作目标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eastAsia="zh-CN"/>
        </w:rPr>
        <w:t>下一步，我们将严格按照衔接资金管理办法，统筹资金使用，进一步平衡村域发展。同时，积极向上争取政策和资金，引导苏陕协作、定点帮扶、社会帮扶等资金向一般村投入，逐渐缩小原脱贫村和一般村发展差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在此，感谢您对乡村振兴方面工作的关注，您的建议对我们的工作有极大的鞭策作用，我们将努力做好乡村振兴发展工作，希望以后继续支持我们的工作。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0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845" w:rightChars="264" w:firstLine="5257" w:firstLineChars="1643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镇安县农业农村局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0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845" w:rightChars="264" w:firstLine="5257" w:firstLineChars="1643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2024年5月21日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联系单位及电话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镇安县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5322203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县人大常委会人事代表工作委员会，县政府办公室。</w:t>
      </w:r>
    </w:p>
    <w:sectPr>
      <w:footerReference r:id="rId5" w:type="default"/>
      <w:pgSz w:w="11906" w:h="16838"/>
      <w:pgMar w:top="1984" w:right="1474" w:bottom="1701" w:left="1587" w:header="851" w:footer="1417" w:gutter="0"/>
      <w:paperSrc/>
      <w:pgNumType w:fmt="numberInDash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DBkMzNkMjkzM2MwYmNjMjUzZTIxMTNhN2Y0YzAifQ=="/>
  </w:docVars>
  <w:rsids>
    <w:rsidRoot w:val="1D94570F"/>
    <w:rsid w:val="030800B6"/>
    <w:rsid w:val="06734FDA"/>
    <w:rsid w:val="0BA14AD8"/>
    <w:rsid w:val="0D46772D"/>
    <w:rsid w:val="1733791F"/>
    <w:rsid w:val="1D94570F"/>
    <w:rsid w:val="2398757C"/>
    <w:rsid w:val="26072176"/>
    <w:rsid w:val="2C4503C1"/>
    <w:rsid w:val="2DE81100"/>
    <w:rsid w:val="2F2956C7"/>
    <w:rsid w:val="30823280"/>
    <w:rsid w:val="345C1755"/>
    <w:rsid w:val="355C5798"/>
    <w:rsid w:val="3EA22217"/>
    <w:rsid w:val="50461F8A"/>
    <w:rsid w:val="590449B0"/>
    <w:rsid w:val="5E4834F0"/>
    <w:rsid w:val="61363BEE"/>
    <w:rsid w:val="63703717"/>
    <w:rsid w:val="66F403EC"/>
    <w:rsid w:val="6D2619F5"/>
    <w:rsid w:val="756D7592"/>
    <w:rsid w:val="77BB17DE"/>
    <w:rsid w:val="7C54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Calibri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40" w:line="288" w:lineRule="auto"/>
    </w:pPr>
  </w:style>
  <w:style w:type="paragraph" w:styleId="3">
    <w:name w:val="index 8"/>
    <w:basedOn w:val="1"/>
    <w:next w:val="1"/>
    <w:autoRedefine/>
    <w:qFormat/>
    <w:uiPriority w:val="0"/>
    <w:pPr>
      <w:ind w:left="2940"/>
    </w:pPr>
  </w:style>
  <w:style w:type="paragraph" w:styleId="6">
    <w:name w:val="index 5"/>
    <w:basedOn w:val="1"/>
    <w:next w:val="1"/>
    <w:autoRedefine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样式3"/>
    <w:basedOn w:val="1"/>
    <w:autoRedefine/>
    <w:qFormat/>
    <w:uiPriority w:val="0"/>
    <w:pPr>
      <w:spacing w:line="560" w:lineRule="exact"/>
      <w:ind w:firstLine="420" w:firstLineChars="200"/>
    </w:pPr>
    <w:rPr>
      <w:rFonts w:cs="仿宋_GB2312" w:asciiTheme="minorAscii" w:hAnsiTheme="minorAscii"/>
      <w:szCs w:val="32"/>
    </w:rPr>
  </w:style>
  <w:style w:type="paragraph" w:customStyle="1" w:styleId="14">
    <w:name w:val="正文123"/>
    <w:basedOn w:val="1"/>
    <w:autoRedefine/>
    <w:qFormat/>
    <w:uiPriority w:val="0"/>
    <w:pPr>
      <w:spacing w:line="560" w:lineRule="exact"/>
      <w:ind w:firstLine="420" w:firstLineChars="200"/>
    </w:pPr>
    <w:rPr>
      <w:rFonts w:hint="default" w:eastAsia="仿宋_GB2312" w:cs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968</Characters>
  <Lines>0</Lines>
  <Paragraphs>0</Paragraphs>
  <TotalTime>1</TotalTime>
  <ScaleCrop>false</ScaleCrop>
  <LinksUpToDate>false</LinksUpToDate>
  <CharactersWithSpaces>971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2023-05-30T00:19:00Z</dcterms:created>
  <dc:creator>游苗</dc:creator>
  <cp:lastModifiedBy>满眼星辰</cp:lastModifiedBy>
  <cp:lastPrinted>2024-05-21T01:36:16Z</cp:lastPrinted>
  <dcterms:modified xsi:type="dcterms:W3CDTF">2024-05-21T01:40:45Z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1C79E71E374B41298142447D8EA025BB_13</vt:lpwstr>
  </property>
</Properties>
</file>