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AF" w:rsidRDefault="009D30B9">
      <w:pPr>
        <w:jc w:val="center"/>
        <w:rPr>
          <w:rFonts w:ascii="方正小标宋简体" w:eastAsia="方正小标宋简体"/>
          <w:sz w:val="40"/>
        </w:rPr>
      </w:pPr>
      <w:r>
        <w:rPr>
          <w:rFonts w:ascii="方正小标宋简体" w:eastAsia="方正小标宋简体" w:hint="eastAsia"/>
          <w:sz w:val="40"/>
        </w:rPr>
        <w:t>镇安县民政局</w:t>
      </w:r>
    </w:p>
    <w:p w:rsidR="00F62FAF" w:rsidRDefault="009D30B9">
      <w:pPr>
        <w:jc w:val="center"/>
        <w:rPr>
          <w:rFonts w:ascii="方正小标宋简体" w:eastAsia="方正小标宋简体"/>
          <w:sz w:val="40"/>
        </w:rPr>
      </w:pPr>
      <w:r>
        <w:rPr>
          <w:rFonts w:ascii="方正小标宋简体" w:eastAsia="方正小标宋简体" w:hint="eastAsia"/>
          <w:sz w:val="40"/>
        </w:rPr>
        <w:t>2018年部门综合预算说明</w:t>
      </w:r>
    </w:p>
    <w:p w:rsidR="00F62FAF" w:rsidRDefault="00F62FAF">
      <w:pPr>
        <w:rPr>
          <w:rFonts w:ascii="黑体" w:eastAsia="黑体" w:hAnsi="黑体"/>
          <w:b/>
        </w:rPr>
      </w:pPr>
    </w:p>
    <w:p w:rsidR="00F62FAF" w:rsidRDefault="009D30B9">
      <w:pPr>
        <w:rPr>
          <w:rFonts w:ascii="黑体" w:eastAsia="黑体" w:hAnsi="黑体"/>
          <w:sz w:val="32"/>
          <w:szCs w:val="32"/>
        </w:rPr>
      </w:pPr>
      <w:r>
        <w:rPr>
          <w:rFonts w:ascii="黑体" w:eastAsia="黑体" w:hAnsi="黑体" w:hint="eastAsia"/>
          <w:sz w:val="32"/>
          <w:szCs w:val="32"/>
        </w:rPr>
        <w:t>一、部门主要职责</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镇安县民政局是政府实施社会管理的主要职能部门之一。主要负责全县城乡居民最低生活保障、 医疗救助、临时救助、生活无着人员救助工作；负责全县救灾减灾体系建设和灾民生活救助工作； 负责推进基层民主政治建设和全县城乡社区建设；负责全县社会福利事业和上级下达的福利彩票资金管理工作； 负责指导全县社会慈善、社会捐赠等社会扶助活动，促进慈善事业发展；负责组织开展拥军优属、 拥政爱民活动；负责全县优抚对象的优待、抚恤和补助工作及城镇退役士兵、转业士官、复员干部、 残疾士兵、军队离退休干部和无军籍退休职工的接收安置和服务管理工作；负责全县婚姻登记管理、 殡葬管理、流浪乞讨人员救助管理和儿童收养工作，负责全县老龄事务工作；推进婚俗和殡葬改革；负责全县行政区划、地名管理及行政区域界线的管理和调整工作；承担对全县社会团体、民办非企业单位、基金会的登记管理和执法监察等。</w:t>
      </w:r>
    </w:p>
    <w:p w:rsidR="00F62FAF" w:rsidRDefault="009D30B9">
      <w:pPr>
        <w:rPr>
          <w:rFonts w:ascii="黑体" w:eastAsia="黑体" w:hAnsi="黑体"/>
          <w:sz w:val="32"/>
          <w:szCs w:val="32"/>
        </w:rPr>
      </w:pPr>
      <w:r>
        <w:rPr>
          <w:rFonts w:ascii="黑体" w:eastAsia="黑体" w:hAnsi="黑体" w:hint="eastAsia"/>
          <w:sz w:val="32"/>
          <w:szCs w:val="32"/>
        </w:rPr>
        <w:t>二、2018年年度部门工作任务</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2018年，县民政局按照县委、县政府的决策部署，结合省市民政工作要点，重点抓好以下几方面工作：</w:t>
      </w:r>
    </w:p>
    <w:p w:rsidR="00F62FAF" w:rsidRDefault="009D30B9">
      <w:pPr>
        <w:ind w:firstLineChars="100" w:firstLine="320"/>
        <w:rPr>
          <w:rFonts w:ascii="仿宋_GB2312" w:eastAsia="仿宋_GB2312"/>
          <w:sz w:val="32"/>
          <w:szCs w:val="32"/>
        </w:rPr>
      </w:pPr>
      <w:r>
        <w:rPr>
          <w:rFonts w:ascii="仿宋_GB2312" w:eastAsia="仿宋_GB2312" w:hint="eastAsia"/>
          <w:sz w:val="32"/>
          <w:szCs w:val="32"/>
        </w:rPr>
        <w:t>（一）提高五保供养水平，按时按标准兑现五保供养金。</w:t>
      </w:r>
      <w:r>
        <w:rPr>
          <w:rFonts w:ascii="仿宋_GB2312" w:eastAsia="仿宋_GB2312" w:hint="eastAsia"/>
          <w:sz w:val="32"/>
          <w:szCs w:val="32"/>
        </w:rPr>
        <w:lastRenderedPageBreak/>
        <w:t>规范农村敬老院管理，全面完成大坪、茅坪、月河、柴坪等区域敬老院建设任务并开园入住。农村敬老院入住率争取达到90%。</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（二）做好救灾救济工作，完善预案、明确各级责任，确保救灾物资储备充足，及时收集汇总上报灾害信息，灾情发生后，24小时内使灾民得到有效救助。</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三）认真贯彻落实国发[2012]45号文件精神，切实加强和改进城乡低保工作，城乡低保实现动态管理下的应保尽保，城市低保金按月发放；农村低保金按季度发放。加强对医疗救助、临时救助等社会救助资金的管理。</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（四）抓好双拥优抚工作，按政策规定100%兑现优抚</w:t>
      </w:r>
      <w:r w:rsidR="00A077DC" w:rsidRPr="00A077DC">
        <w:rPr>
          <w:rFonts w:ascii="仿宋_GB2312" w:eastAsia="仿宋_GB2312" w:hint="eastAsia"/>
          <w:sz w:val="32"/>
          <w:szCs w:val="32"/>
        </w:rPr>
        <w:t>抚恤金</w:t>
      </w:r>
      <w:r>
        <w:rPr>
          <w:rFonts w:ascii="仿宋_GB2312" w:eastAsia="仿宋_GB2312" w:hint="eastAsia"/>
          <w:sz w:val="32"/>
          <w:szCs w:val="32"/>
        </w:rPr>
        <w:t>，全面落实优抚安置政策。</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（五）规范婚姻、社团、收养三项登记管理，登记合格率达到100%。加快社区服务提升创建工作。加快养老服务体系建设和，新建65个农村互助幸福院。完成县老年护理院建设任务。</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（六）加强殡葬管理，提高殡仪服务水平，启动县殡仪馆建设项目，完成县北城（凤凰台）公益性公墓建设任务。完成云镇社区等3个村级公益性公墓建设。</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（七）做好社会兜底保障工作。完成脱贫攻坚包扶工作任务；</w:t>
      </w:r>
    </w:p>
    <w:p w:rsidR="00F62FAF" w:rsidRDefault="00F62FAF">
      <w:pPr>
        <w:ind w:firstLineChars="200" w:firstLine="640"/>
        <w:rPr>
          <w:rFonts w:ascii="仿宋_GB2312" w:eastAsia="仿宋_GB2312"/>
          <w:sz w:val="32"/>
          <w:szCs w:val="32"/>
        </w:rPr>
      </w:pP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lastRenderedPageBreak/>
        <w:t>（八）全面提升公共服务能力。主动适应群众需求，着力提升信息化水平，为群众提供更加便捷的服务。</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（九）持之以恒抓好党风廉政工作。以学习党的十九大精神为引领，以执行《廉洁自律准则》《纪律处分条例》、</w:t>
      </w:r>
      <w:r w:rsidR="002B4417" w:rsidRPr="002B4417">
        <w:rPr>
          <w:rFonts w:ascii="仿宋_GB2312" w:eastAsia="仿宋_GB2312" w:hint="eastAsia"/>
          <w:sz w:val="32"/>
          <w:szCs w:val="32"/>
        </w:rPr>
        <w:t>中央八项规定</w:t>
      </w:r>
      <w:r>
        <w:rPr>
          <w:rFonts w:ascii="仿宋_GB2312" w:eastAsia="仿宋_GB2312" w:hint="eastAsia"/>
          <w:sz w:val="32"/>
          <w:szCs w:val="32"/>
        </w:rPr>
        <w:t>及市委“十条意见”为重点，时刻筑牢党风廉政思想防线，层层传导从严管党治党责任与压力，为促进全县民政工作健康、持续发展提供强有力的思想和组织保证。</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(十）承办县委、县政府及上级业务主管部门交办的其他事项。</w:t>
      </w:r>
    </w:p>
    <w:p w:rsidR="00F62FAF" w:rsidRDefault="009D30B9">
      <w:pPr>
        <w:rPr>
          <w:rFonts w:ascii="黑体" w:eastAsia="黑体" w:hAnsi="黑体"/>
          <w:sz w:val="32"/>
          <w:szCs w:val="32"/>
        </w:rPr>
      </w:pPr>
      <w:r>
        <w:rPr>
          <w:rFonts w:ascii="黑体" w:eastAsia="黑体" w:hAnsi="黑体" w:hint="eastAsia"/>
          <w:sz w:val="32"/>
          <w:szCs w:val="32"/>
        </w:rPr>
        <w:t>三、部门预算单位构成</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从预算单位构成看，纳入本部门2018年部门预算编制范围的二级预算单位有4个。包括：</w:t>
      </w:r>
      <w:r>
        <w:rPr>
          <w:rFonts w:ascii="仿宋_GB2312" w:eastAsia="仿宋_GB2312" w:hint="eastAsia"/>
          <w:sz w:val="32"/>
          <w:szCs w:val="32"/>
        </w:rPr>
        <w:tab/>
      </w:r>
    </w:p>
    <w:tbl>
      <w:tblPr>
        <w:tblW w:w="71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9"/>
        <w:gridCol w:w="5811"/>
      </w:tblGrid>
      <w:tr w:rsidR="00F62FAF">
        <w:tc>
          <w:tcPr>
            <w:tcW w:w="1379" w:type="dxa"/>
          </w:tcPr>
          <w:p w:rsidR="00F62FAF" w:rsidRDefault="009D30B9">
            <w:pPr>
              <w:jc w:val="center"/>
              <w:rPr>
                <w:rFonts w:ascii="宋体" w:hAnsi="宋体"/>
                <w:sz w:val="30"/>
                <w:szCs w:val="30"/>
              </w:rPr>
            </w:pPr>
            <w:r>
              <w:rPr>
                <w:rFonts w:ascii="宋体" w:hAnsi="宋体" w:hint="eastAsia"/>
                <w:sz w:val="30"/>
                <w:szCs w:val="30"/>
              </w:rPr>
              <w:t>序号</w:t>
            </w:r>
          </w:p>
        </w:tc>
        <w:tc>
          <w:tcPr>
            <w:tcW w:w="5811" w:type="dxa"/>
          </w:tcPr>
          <w:p w:rsidR="00F62FAF" w:rsidRDefault="009D30B9">
            <w:pPr>
              <w:jc w:val="center"/>
              <w:rPr>
                <w:rFonts w:ascii="宋体" w:hAnsi="宋体"/>
                <w:sz w:val="30"/>
                <w:szCs w:val="30"/>
              </w:rPr>
            </w:pPr>
            <w:r>
              <w:rPr>
                <w:rFonts w:ascii="宋体" w:hAnsi="宋体" w:hint="eastAsia"/>
                <w:sz w:val="30"/>
                <w:szCs w:val="30"/>
              </w:rPr>
              <w:t>单位</w:t>
            </w:r>
            <w:r>
              <w:rPr>
                <w:rFonts w:ascii="宋体" w:hAnsi="宋体"/>
                <w:sz w:val="30"/>
                <w:szCs w:val="30"/>
              </w:rPr>
              <w:t>名称</w:t>
            </w:r>
          </w:p>
        </w:tc>
      </w:tr>
      <w:tr w:rsidR="00F62FAF">
        <w:tc>
          <w:tcPr>
            <w:tcW w:w="1379" w:type="dxa"/>
          </w:tcPr>
          <w:p w:rsidR="00F62FAF" w:rsidRDefault="009D30B9">
            <w:pPr>
              <w:jc w:val="center"/>
              <w:rPr>
                <w:rFonts w:ascii="宋体" w:hAnsi="宋体"/>
                <w:sz w:val="30"/>
                <w:szCs w:val="30"/>
              </w:rPr>
            </w:pPr>
            <w:r>
              <w:rPr>
                <w:rFonts w:ascii="宋体" w:hAnsi="宋体" w:hint="eastAsia"/>
                <w:sz w:val="30"/>
                <w:szCs w:val="30"/>
              </w:rPr>
              <w:t>1</w:t>
            </w:r>
          </w:p>
        </w:tc>
        <w:tc>
          <w:tcPr>
            <w:tcW w:w="5811" w:type="dxa"/>
          </w:tcPr>
          <w:p w:rsidR="00F62FAF" w:rsidRDefault="009D30B9">
            <w:pPr>
              <w:rPr>
                <w:rFonts w:ascii="宋体" w:hAnsi="宋体"/>
                <w:sz w:val="30"/>
                <w:szCs w:val="30"/>
              </w:rPr>
            </w:pPr>
            <w:r>
              <w:rPr>
                <w:rFonts w:ascii="宋体" w:hAnsi="宋体" w:hint="eastAsia"/>
                <w:sz w:val="30"/>
                <w:szCs w:val="30"/>
              </w:rPr>
              <w:t>镇安县民政局（</w:t>
            </w:r>
            <w:r>
              <w:rPr>
                <w:rFonts w:ascii="宋体" w:hAnsi="宋体"/>
                <w:sz w:val="30"/>
                <w:szCs w:val="30"/>
              </w:rPr>
              <w:t>本级</w:t>
            </w:r>
            <w:r>
              <w:rPr>
                <w:rFonts w:ascii="宋体" w:hAnsi="宋体" w:hint="eastAsia"/>
                <w:sz w:val="30"/>
                <w:szCs w:val="30"/>
              </w:rPr>
              <w:t>机关）</w:t>
            </w:r>
          </w:p>
        </w:tc>
      </w:tr>
      <w:tr w:rsidR="00F62FAF">
        <w:tc>
          <w:tcPr>
            <w:tcW w:w="1379" w:type="dxa"/>
          </w:tcPr>
          <w:p w:rsidR="00F62FAF" w:rsidRDefault="009D30B9">
            <w:pPr>
              <w:jc w:val="center"/>
              <w:rPr>
                <w:rFonts w:ascii="宋体" w:hAnsi="宋体"/>
                <w:sz w:val="30"/>
                <w:szCs w:val="30"/>
              </w:rPr>
            </w:pPr>
            <w:r>
              <w:rPr>
                <w:rFonts w:ascii="宋体" w:hAnsi="宋体" w:hint="eastAsia"/>
                <w:sz w:val="30"/>
                <w:szCs w:val="30"/>
              </w:rPr>
              <w:t>2</w:t>
            </w:r>
          </w:p>
        </w:tc>
        <w:tc>
          <w:tcPr>
            <w:tcW w:w="5811" w:type="dxa"/>
          </w:tcPr>
          <w:p w:rsidR="00F62FAF" w:rsidRDefault="009D30B9">
            <w:pPr>
              <w:rPr>
                <w:rFonts w:ascii="宋体" w:hAnsi="宋体"/>
                <w:sz w:val="30"/>
                <w:szCs w:val="30"/>
              </w:rPr>
            </w:pPr>
            <w:r>
              <w:rPr>
                <w:rFonts w:ascii="宋体" w:hAnsi="宋体" w:hint="eastAsia"/>
                <w:sz w:val="30"/>
                <w:szCs w:val="30"/>
              </w:rPr>
              <w:t>镇安县老龄委</w:t>
            </w:r>
          </w:p>
        </w:tc>
      </w:tr>
      <w:tr w:rsidR="00F62FAF">
        <w:tc>
          <w:tcPr>
            <w:tcW w:w="1379" w:type="dxa"/>
          </w:tcPr>
          <w:p w:rsidR="00F62FAF" w:rsidRDefault="009D30B9">
            <w:pPr>
              <w:jc w:val="center"/>
              <w:rPr>
                <w:rFonts w:ascii="宋体" w:hAnsi="宋体"/>
                <w:sz w:val="30"/>
                <w:szCs w:val="30"/>
              </w:rPr>
            </w:pPr>
            <w:r>
              <w:rPr>
                <w:rFonts w:ascii="宋体" w:hAnsi="宋体" w:hint="eastAsia"/>
                <w:sz w:val="30"/>
                <w:szCs w:val="30"/>
              </w:rPr>
              <w:t>3</w:t>
            </w:r>
          </w:p>
        </w:tc>
        <w:tc>
          <w:tcPr>
            <w:tcW w:w="5811" w:type="dxa"/>
          </w:tcPr>
          <w:p w:rsidR="00F62FAF" w:rsidRDefault="009D30B9">
            <w:pPr>
              <w:rPr>
                <w:rFonts w:ascii="宋体" w:hAnsi="宋体"/>
                <w:sz w:val="30"/>
                <w:szCs w:val="30"/>
              </w:rPr>
            </w:pPr>
            <w:r>
              <w:rPr>
                <w:rFonts w:ascii="宋体" w:hAnsi="宋体" w:hint="eastAsia"/>
                <w:sz w:val="30"/>
                <w:szCs w:val="30"/>
              </w:rPr>
              <w:t>镇安县救助站</w:t>
            </w:r>
          </w:p>
        </w:tc>
      </w:tr>
      <w:tr w:rsidR="00F62FAF">
        <w:tc>
          <w:tcPr>
            <w:tcW w:w="1379" w:type="dxa"/>
          </w:tcPr>
          <w:p w:rsidR="00F62FAF" w:rsidRDefault="009D30B9">
            <w:pPr>
              <w:jc w:val="center"/>
              <w:rPr>
                <w:rFonts w:ascii="宋体" w:hAnsi="宋体"/>
                <w:sz w:val="30"/>
                <w:szCs w:val="30"/>
              </w:rPr>
            </w:pPr>
            <w:r>
              <w:rPr>
                <w:rFonts w:ascii="宋体" w:hAnsi="宋体" w:hint="eastAsia"/>
                <w:sz w:val="30"/>
                <w:szCs w:val="30"/>
              </w:rPr>
              <w:t>4</w:t>
            </w:r>
          </w:p>
        </w:tc>
        <w:tc>
          <w:tcPr>
            <w:tcW w:w="5811" w:type="dxa"/>
          </w:tcPr>
          <w:p w:rsidR="00F62FAF" w:rsidRDefault="009D30B9">
            <w:pPr>
              <w:rPr>
                <w:rFonts w:ascii="宋体" w:hAnsi="宋体"/>
                <w:sz w:val="30"/>
                <w:szCs w:val="30"/>
              </w:rPr>
            </w:pPr>
            <w:r>
              <w:rPr>
                <w:rFonts w:ascii="宋体" w:hAnsi="宋体" w:hint="eastAsia"/>
                <w:sz w:val="30"/>
                <w:szCs w:val="30"/>
              </w:rPr>
              <w:t>镇安县殡葬殡仪管理所</w:t>
            </w:r>
          </w:p>
        </w:tc>
      </w:tr>
      <w:tr w:rsidR="00F62FAF">
        <w:tc>
          <w:tcPr>
            <w:tcW w:w="1379" w:type="dxa"/>
          </w:tcPr>
          <w:p w:rsidR="00F62FAF" w:rsidRDefault="00F62FAF">
            <w:pPr>
              <w:jc w:val="center"/>
              <w:rPr>
                <w:rFonts w:ascii="宋体" w:hAnsi="宋体"/>
                <w:sz w:val="30"/>
                <w:szCs w:val="30"/>
              </w:rPr>
            </w:pPr>
          </w:p>
        </w:tc>
        <w:tc>
          <w:tcPr>
            <w:tcW w:w="5811" w:type="dxa"/>
          </w:tcPr>
          <w:p w:rsidR="00F62FAF" w:rsidRDefault="00F62FAF">
            <w:pPr>
              <w:rPr>
                <w:rFonts w:ascii="宋体" w:hAnsi="宋体"/>
                <w:sz w:val="30"/>
                <w:szCs w:val="30"/>
              </w:rPr>
            </w:pPr>
          </w:p>
        </w:tc>
      </w:tr>
    </w:tbl>
    <w:p w:rsidR="00F62FAF" w:rsidRDefault="00F62FAF">
      <w:pPr>
        <w:rPr>
          <w:rFonts w:ascii="仿宋_GB2312" w:eastAsia="仿宋_GB2312"/>
          <w:sz w:val="32"/>
          <w:szCs w:val="32"/>
        </w:rPr>
      </w:pPr>
    </w:p>
    <w:p w:rsidR="00F62FAF" w:rsidRDefault="009D30B9">
      <w:pPr>
        <w:rPr>
          <w:rFonts w:ascii="黑体" w:eastAsia="黑体" w:hAnsi="黑体"/>
          <w:sz w:val="32"/>
          <w:szCs w:val="32"/>
        </w:rPr>
      </w:pPr>
      <w:r>
        <w:rPr>
          <w:rFonts w:ascii="黑体" w:eastAsia="黑体" w:hAnsi="黑体" w:hint="eastAsia"/>
          <w:sz w:val="32"/>
          <w:szCs w:val="32"/>
        </w:rPr>
        <w:t>四、部门人员情况说明</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截止2017年底，本部门人员编制34人，其中行政编制11人、事业编制23人；实有人员40人，其中行政15人，</w:t>
      </w:r>
      <w:r>
        <w:rPr>
          <w:rFonts w:ascii="仿宋_GB2312" w:eastAsia="仿宋_GB2312" w:hint="eastAsia"/>
          <w:sz w:val="32"/>
          <w:szCs w:val="32"/>
        </w:rPr>
        <w:lastRenderedPageBreak/>
        <w:t>事业25人。单位管理的离退休人员0人。</w:t>
      </w:r>
    </w:p>
    <w:p w:rsidR="00F62FAF" w:rsidRDefault="009D30B9">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0" distR="0">
            <wp:extent cx="5274310" cy="3076575"/>
            <wp:effectExtent l="0" t="0" r="254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2FAF" w:rsidRDefault="009D30B9">
      <w:pPr>
        <w:rPr>
          <w:rFonts w:ascii="黑体" w:eastAsia="黑体" w:hAnsi="黑体"/>
          <w:sz w:val="32"/>
          <w:szCs w:val="32"/>
        </w:rPr>
      </w:pPr>
      <w:r>
        <w:rPr>
          <w:rFonts w:ascii="黑体" w:eastAsia="黑体" w:hAnsi="黑体" w:hint="eastAsia"/>
          <w:sz w:val="32"/>
          <w:szCs w:val="32"/>
        </w:rPr>
        <w:t>五、部门国有资产占有使用及资产购置情况说明</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截至2017年12月31日，本部门所属预算单位共有车辆2辆，其中：民政局机关管理一辆省民政厅捐赠的救灾专用车，县殡葬管理所一辆殡葬专用车；单价20万元以上的设备3台（套），其中：社区网络信息平台专用设备一套，中心、青铜两所敬老院采暖专供变压器各一台。2018年部门预算安排购置车辆0辆；安排购置单价20万元以上的设备0台（套）。</w:t>
      </w:r>
    </w:p>
    <w:p w:rsidR="00F62FAF" w:rsidRDefault="009D30B9">
      <w:pPr>
        <w:rPr>
          <w:rFonts w:ascii="黑体" w:eastAsia="黑体" w:hAnsi="黑体"/>
          <w:sz w:val="32"/>
          <w:szCs w:val="32"/>
        </w:rPr>
      </w:pPr>
      <w:r>
        <w:rPr>
          <w:rFonts w:ascii="黑体" w:eastAsia="黑体" w:hAnsi="黑体" w:hint="eastAsia"/>
          <w:sz w:val="32"/>
          <w:szCs w:val="32"/>
        </w:rPr>
        <w:t>六、部门预算绩效目标说明</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本部门还未开展绩效管理，根据财政局安排正在推进此项工作。</w:t>
      </w:r>
    </w:p>
    <w:p w:rsidR="00F62FAF" w:rsidRDefault="009D30B9">
      <w:pPr>
        <w:rPr>
          <w:rFonts w:ascii="黑体" w:eastAsia="黑体" w:hAnsi="黑体"/>
          <w:sz w:val="32"/>
          <w:szCs w:val="32"/>
        </w:rPr>
      </w:pPr>
      <w:r>
        <w:rPr>
          <w:rFonts w:ascii="黑体" w:eastAsia="黑体" w:hAnsi="黑体" w:hint="eastAsia"/>
          <w:sz w:val="32"/>
          <w:szCs w:val="32"/>
        </w:rPr>
        <w:t>七、2018年部门预算收支说明</w:t>
      </w:r>
    </w:p>
    <w:p w:rsidR="00F62FAF" w:rsidRDefault="009D30B9">
      <w:pPr>
        <w:ind w:firstLineChars="200" w:firstLine="643"/>
        <w:rPr>
          <w:rFonts w:ascii="仿宋_GB2312" w:eastAsia="仿宋_GB2312"/>
          <w:sz w:val="32"/>
          <w:szCs w:val="32"/>
        </w:rPr>
      </w:pPr>
      <w:r>
        <w:rPr>
          <w:rFonts w:ascii="仿宋_GB2312" w:eastAsia="仿宋_GB2312" w:hint="eastAsia"/>
          <w:b/>
          <w:bCs/>
          <w:sz w:val="32"/>
          <w:szCs w:val="32"/>
        </w:rPr>
        <w:t>（一）收支预算总体情况</w:t>
      </w:r>
      <w:r>
        <w:rPr>
          <w:rFonts w:ascii="仿宋_GB2312" w:eastAsia="仿宋_GB2312" w:hint="eastAsia"/>
          <w:sz w:val="32"/>
          <w:szCs w:val="32"/>
        </w:rPr>
        <w:t>。</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lastRenderedPageBreak/>
        <w:t>1、收入情况。2018年收入总计2144.85万元，均为一般公共预算拨款，2017年收入1669.93万元，相比增长474.92万元，增幅为28%。收入增长原因是：2018年部门预算将社区工作人员经费263.55万元和县级配套的农村敬老院公益岗位人员经费191.8万元共455.35万元直接纳入年初预算，这两块资金在2017年度是追加预算下达的；另外的19.57万元属于增调资因素。</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2、预算支出情况。2018年部门预算支出2144.85万元，其中：（1）人员经费703.11万元，相比2017年人员经费预算支出增长了474.92万元，增幅为28%。预算支出增长的原因是2018年部门预算将社区工作人员经费和县级配套的农村敬老院公益岗位人员经费共455.35万元直接纳入到年初预算，这两块资金在2017年度是追加预算下达的；另外的19.57万元属于增调资因素。</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（2）公用经费预算支出14.4万元，专项业务经费预算支出109万元。这两项预算支出相比2017年的预算支出是相持平的；</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（3）对个人和家庭的补助支出1318.34万元，与2017年预算支出持平。</w:t>
      </w:r>
    </w:p>
    <w:p w:rsidR="00F62FAF" w:rsidRDefault="009D30B9">
      <w:pPr>
        <w:ind w:firstLineChars="200" w:firstLine="643"/>
        <w:rPr>
          <w:rFonts w:ascii="仿宋_GB2312" w:eastAsia="仿宋_GB2312"/>
          <w:sz w:val="32"/>
          <w:szCs w:val="32"/>
        </w:rPr>
      </w:pPr>
      <w:r>
        <w:rPr>
          <w:rFonts w:ascii="仿宋_GB2312" w:eastAsia="仿宋_GB2312" w:hint="eastAsia"/>
          <w:b/>
          <w:bCs/>
          <w:sz w:val="32"/>
          <w:szCs w:val="32"/>
        </w:rPr>
        <w:t>（二）财政拨款收支情况</w:t>
      </w:r>
      <w:r>
        <w:rPr>
          <w:rFonts w:ascii="仿宋_GB2312" w:eastAsia="仿宋_GB2312" w:hint="eastAsia"/>
          <w:sz w:val="32"/>
          <w:szCs w:val="32"/>
        </w:rPr>
        <w:t>。</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1、财政拨款收入情况。2018年财政拨款收入总计2144.85万元，均为一般公共预算拨款，2017年财政拨款收</w:t>
      </w:r>
      <w:r>
        <w:rPr>
          <w:rFonts w:ascii="仿宋_GB2312" w:eastAsia="仿宋_GB2312" w:hint="eastAsia"/>
          <w:sz w:val="32"/>
          <w:szCs w:val="32"/>
        </w:rPr>
        <w:lastRenderedPageBreak/>
        <w:t>入1669.93万元，相比增长474.92万元，增幅为28%。财政拨款收入增长原因是2018年部门预算将社区工作人员经费和县级配套的农村敬老院公益岗位人员经费共455.35万元直接纳入年初预算，这两块资金在2017年度是追加预算下达的；另外的19.57万元属于增调资因素。</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2、财政拨款支出情况。2018年部门财政拨款预算支出2144.85万元，其中：（1）人员经费和公用经费支出717.51万元，相比2017年度在人员经费预算拨款增加了474.92万元。增长的主要原因是把2017年度相关人员经费由追加预算变为年初预算，其次是增调资因素。(2)年初专项业务经费预算拨款支出109万元,与上年持平；（3）对个人和家庭的补助拨款支出1318.34万元，与上年持平。</w:t>
      </w:r>
    </w:p>
    <w:p w:rsidR="00F62FAF" w:rsidRDefault="009D30B9">
      <w:pPr>
        <w:ind w:firstLineChars="200" w:firstLine="643"/>
        <w:rPr>
          <w:rFonts w:ascii="仿宋_GB2312" w:eastAsia="仿宋_GB2312"/>
          <w:sz w:val="32"/>
          <w:szCs w:val="32"/>
        </w:rPr>
      </w:pPr>
      <w:r>
        <w:rPr>
          <w:rFonts w:ascii="仿宋_GB2312" w:eastAsia="仿宋_GB2312" w:hint="eastAsia"/>
          <w:b/>
          <w:bCs/>
          <w:sz w:val="32"/>
          <w:szCs w:val="32"/>
        </w:rPr>
        <w:t>（三）一般公共预算拨款支出明细情况。</w:t>
      </w:r>
      <w:bookmarkStart w:id="0" w:name="_GoBack"/>
      <w:bookmarkEnd w:id="0"/>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1、一般公共预算当年拨款规模变化情况。</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2018年民政部门预算拨款2144.85万元，均为一般公共预算拨款，2017年一般公共预算拨款1669.93万元，增长474.92万元，增幅为28%。财政拨款收入增长原因是2018年部门预算公开，增加了社区专职工作人员经费和敬老院公益岗位人员经费纳入了年初预算，这两块资金在2017年度是追加预算下达的；另外的19.57万元属于增调资因素。</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2、支出按功能科目分类的明细情况。</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按照功能科目分类本部门2018年一般公共预算拨款支</w:t>
      </w:r>
      <w:r>
        <w:rPr>
          <w:rFonts w:ascii="仿宋_GB2312" w:eastAsia="仿宋_GB2312" w:hint="eastAsia"/>
          <w:sz w:val="32"/>
          <w:szCs w:val="32"/>
        </w:rPr>
        <w:lastRenderedPageBreak/>
        <w:t>出2144.85万元，包括一般公共服务支出826.51万元、社会保障和就业支出1318.34万元。其中：（1）人员经费703.11万元，相比2017年增加了474.92万元，增长原因是：2018年部门预算将社区工作人员经费和县级配套的农村敬老院公益岗位人员经费共455.35万元直接纳入年初预算，这两块资金在2017年度是追加预算下达的；另外的19.57万元属于增调资因素；（2）公用经费支出14.4万元，专项业务经费支出109万元。这两项支出相比2017年预算支出基本持平；（3）社会保障和就业支出1318.34万元，相比2017年预算支出基本持平。</w:t>
      </w:r>
    </w:p>
    <w:p w:rsidR="00F62FAF" w:rsidRDefault="009D30B9">
      <w:pPr>
        <w:rPr>
          <w:rFonts w:ascii="仿宋_GB2312" w:eastAsia="仿宋_GB2312"/>
          <w:sz w:val="32"/>
          <w:szCs w:val="32"/>
        </w:rPr>
      </w:pPr>
      <w:r>
        <w:rPr>
          <w:rFonts w:ascii="仿宋_GB2312" w:eastAsia="仿宋_GB2312"/>
          <w:noProof/>
          <w:sz w:val="32"/>
          <w:szCs w:val="32"/>
        </w:rPr>
        <w:drawing>
          <wp:inline distT="0" distB="0" distL="0" distR="0">
            <wp:extent cx="5270500" cy="3076575"/>
            <wp:effectExtent l="0" t="0" r="635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3、支出按经济科目分类的明细情况。</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按照经济科目分类本部门一般公共预算拨款支出包括：（1）工资福利支出703.11 万元，相比2017年预算有所增长，增长的主要原因是把2017年追加预算的两块人员经费</w:t>
      </w:r>
      <w:r>
        <w:rPr>
          <w:rFonts w:ascii="仿宋_GB2312" w:eastAsia="仿宋_GB2312" w:hint="eastAsia"/>
          <w:sz w:val="32"/>
          <w:szCs w:val="32"/>
        </w:rPr>
        <w:lastRenderedPageBreak/>
        <w:t>纳入到今年年初预算；（2）商品和服务支出 123.4万元，相比2017年预算支出基本持平；（3）对个人和家庭的补助支出1318.34万元。相比2017年预算支出基本持平。</w:t>
      </w:r>
    </w:p>
    <w:p w:rsidR="00F62FAF" w:rsidRDefault="009D30B9">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0" distR="0">
            <wp:extent cx="5270500" cy="2432050"/>
            <wp:effectExtent l="0" t="0" r="6350"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2FAF" w:rsidRDefault="009D30B9">
      <w:pPr>
        <w:ind w:firstLineChars="200" w:firstLine="643"/>
        <w:rPr>
          <w:rFonts w:ascii="仿宋_GB2312" w:eastAsia="仿宋_GB2312"/>
          <w:b/>
          <w:bCs/>
          <w:sz w:val="32"/>
          <w:szCs w:val="32"/>
        </w:rPr>
      </w:pPr>
      <w:r>
        <w:rPr>
          <w:rFonts w:ascii="仿宋_GB2312" w:eastAsia="仿宋_GB2312" w:hint="eastAsia"/>
          <w:b/>
          <w:bCs/>
          <w:sz w:val="32"/>
          <w:szCs w:val="32"/>
        </w:rPr>
        <w:t>（四）政府性基金预算支出情况。</w:t>
      </w:r>
    </w:p>
    <w:p w:rsidR="00F62FAF" w:rsidRDefault="009D30B9">
      <w:pPr>
        <w:ind w:firstLineChars="400" w:firstLine="1280"/>
        <w:rPr>
          <w:rFonts w:ascii="仿宋_GB2312" w:eastAsia="仿宋_GB2312"/>
          <w:sz w:val="32"/>
          <w:szCs w:val="32"/>
        </w:rPr>
      </w:pPr>
      <w:r>
        <w:rPr>
          <w:rFonts w:ascii="仿宋_GB2312" w:eastAsia="仿宋_GB2312" w:hint="eastAsia"/>
          <w:sz w:val="32"/>
          <w:szCs w:val="32"/>
        </w:rPr>
        <w:t>本部门无政府性基金预算收支，并已公开空表。</w:t>
      </w:r>
    </w:p>
    <w:p w:rsidR="00F62FAF" w:rsidRDefault="009D30B9">
      <w:pPr>
        <w:ind w:firstLineChars="200" w:firstLine="643"/>
        <w:rPr>
          <w:rFonts w:ascii="仿宋_GB2312" w:eastAsia="仿宋_GB2312"/>
          <w:sz w:val="32"/>
          <w:szCs w:val="32"/>
        </w:rPr>
      </w:pPr>
      <w:r>
        <w:rPr>
          <w:rFonts w:ascii="仿宋_GB2312" w:eastAsia="仿宋_GB2312" w:hint="eastAsia"/>
          <w:b/>
          <w:bCs/>
          <w:sz w:val="32"/>
          <w:szCs w:val="32"/>
        </w:rPr>
        <w:t>（五）国有资本经营预算拨款收支情况</w:t>
      </w:r>
      <w:r>
        <w:rPr>
          <w:rFonts w:ascii="仿宋_GB2312" w:eastAsia="仿宋_GB2312" w:hint="eastAsia"/>
          <w:sz w:val="32"/>
          <w:szCs w:val="32"/>
        </w:rPr>
        <w:t>。</w:t>
      </w:r>
    </w:p>
    <w:p w:rsidR="00F62FAF" w:rsidRDefault="009D30B9">
      <w:pPr>
        <w:ind w:firstLineChars="400" w:firstLine="1280"/>
        <w:rPr>
          <w:rFonts w:ascii="仿宋_GB2312" w:eastAsia="仿宋_GB2312"/>
          <w:sz w:val="32"/>
          <w:szCs w:val="32"/>
        </w:rPr>
      </w:pPr>
      <w:r>
        <w:rPr>
          <w:rFonts w:ascii="仿宋_GB2312" w:eastAsia="仿宋_GB2312" w:hint="eastAsia"/>
          <w:sz w:val="32"/>
          <w:szCs w:val="32"/>
        </w:rPr>
        <w:t>本部门无国有资本经营预算拨款收支。</w:t>
      </w:r>
    </w:p>
    <w:p w:rsidR="00F62FAF" w:rsidRDefault="009D30B9">
      <w:pPr>
        <w:numPr>
          <w:ilvl w:val="0"/>
          <w:numId w:val="1"/>
        </w:numPr>
        <w:ind w:firstLineChars="300" w:firstLine="964"/>
        <w:rPr>
          <w:rFonts w:ascii="仿宋_GB2312" w:eastAsia="仿宋_GB2312"/>
          <w:b/>
          <w:bCs/>
          <w:sz w:val="32"/>
          <w:szCs w:val="32"/>
        </w:rPr>
      </w:pPr>
      <w:r>
        <w:rPr>
          <w:rFonts w:ascii="仿宋_GB2312" w:eastAsia="仿宋_GB2312" w:hint="eastAsia"/>
          <w:b/>
          <w:bCs/>
          <w:sz w:val="32"/>
          <w:szCs w:val="32"/>
        </w:rPr>
        <w:t>“三公”经费等预算情况。</w:t>
      </w:r>
    </w:p>
    <w:p w:rsidR="00F62FAF" w:rsidRDefault="009D30B9">
      <w:pPr>
        <w:ind w:firstLineChars="300" w:firstLine="900"/>
        <w:rPr>
          <w:rFonts w:ascii="宋体" w:hAnsi="宋体"/>
          <w:sz w:val="30"/>
          <w:szCs w:val="30"/>
        </w:rPr>
      </w:pPr>
      <w:r>
        <w:rPr>
          <w:rFonts w:ascii="宋体" w:hAnsi="宋体" w:hint="eastAsia"/>
          <w:sz w:val="30"/>
          <w:szCs w:val="30"/>
        </w:rPr>
        <w:t>1</w:t>
      </w:r>
      <w:r>
        <w:rPr>
          <w:rFonts w:ascii="宋体" w:hAnsi="宋体" w:hint="eastAsia"/>
          <w:sz w:val="30"/>
          <w:szCs w:val="30"/>
        </w:rPr>
        <w:t>、</w:t>
      </w:r>
      <w:r>
        <w:rPr>
          <w:rFonts w:ascii="宋体" w:hAnsi="宋体"/>
          <w:sz w:val="30"/>
          <w:szCs w:val="30"/>
        </w:rPr>
        <w:t xml:space="preserve">2018 </w:t>
      </w:r>
      <w:r>
        <w:rPr>
          <w:rFonts w:ascii="宋体" w:hAnsi="宋体"/>
          <w:sz w:val="30"/>
          <w:szCs w:val="30"/>
        </w:rPr>
        <w:t>年</w:t>
      </w:r>
      <w:r>
        <w:rPr>
          <w:rFonts w:ascii="宋体" w:hAnsi="宋体"/>
          <w:sz w:val="30"/>
          <w:szCs w:val="30"/>
        </w:rPr>
        <w:t>“</w:t>
      </w:r>
      <w:r>
        <w:rPr>
          <w:rFonts w:ascii="宋体" w:hAnsi="宋体"/>
          <w:sz w:val="30"/>
          <w:szCs w:val="30"/>
        </w:rPr>
        <w:t>三公</w:t>
      </w:r>
      <w:r>
        <w:rPr>
          <w:rFonts w:ascii="宋体" w:eastAsia="宋体" w:hAnsi="宋体" w:hint="eastAsia"/>
          <w:sz w:val="30"/>
          <w:szCs w:val="30"/>
        </w:rPr>
        <w:t>”</w:t>
      </w:r>
      <w:r>
        <w:rPr>
          <w:rFonts w:ascii="宋体" w:hAnsi="宋体"/>
          <w:sz w:val="30"/>
          <w:szCs w:val="30"/>
        </w:rPr>
        <w:t>经费共安排支出</w:t>
      </w:r>
      <w:r>
        <w:rPr>
          <w:rFonts w:ascii="宋体" w:hAnsi="宋体"/>
          <w:sz w:val="30"/>
          <w:szCs w:val="30"/>
        </w:rPr>
        <w:t xml:space="preserve"> </w:t>
      </w:r>
      <w:r>
        <w:rPr>
          <w:rFonts w:ascii="宋体" w:hAnsi="宋体" w:hint="eastAsia"/>
          <w:sz w:val="30"/>
          <w:szCs w:val="30"/>
        </w:rPr>
        <w:t>3.6</w:t>
      </w:r>
      <w:r>
        <w:rPr>
          <w:rFonts w:ascii="宋体" w:hAnsi="宋体"/>
          <w:sz w:val="30"/>
          <w:szCs w:val="30"/>
        </w:rPr>
        <w:t>万元，其中：</w:t>
      </w:r>
      <w:r>
        <w:rPr>
          <w:rFonts w:ascii="宋体" w:hAnsi="宋体" w:hint="eastAsia"/>
          <w:sz w:val="30"/>
          <w:szCs w:val="30"/>
        </w:rPr>
        <w:t>（</w:t>
      </w:r>
      <w:r>
        <w:rPr>
          <w:rFonts w:ascii="宋体" w:hAnsi="宋体" w:hint="eastAsia"/>
          <w:sz w:val="30"/>
          <w:szCs w:val="30"/>
        </w:rPr>
        <w:t>1</w:t>
      </w:r>
      <w:r>
        <w:rPr>
          <w:rFonts w:ascii="宋体" w:hAnsi="宋体" w:hint="eastAsia"/>
          <w:sz w:val="30"/>
          <w:szCs w:val="30"/>
        </w:rPr>
        <w:t>）</w:t>
      </w:r>
      <w:r>
        <w:rPr>
          <w:rFonts w:ascii="宋体" w:hAnsi="宋体"/>
          <w:sz w:val="30"/>
          <w:szCs w:val="30"/>
        </w:rPr>
        <w:t>因公出国（境）费用</w:t>
      </w:r>
      <w:r>
        <w:rPr>
          <w:rFonts w:ascii="宋体" w:hAnsi="宋体"/>
          <w:sz w:val="30"/>
          <w:szCs w:val="30"/>
        </w:rPr>
        <w:t xml:space="preserve"> </w:t>
      </w:r>
      <w:r>
        <w:rPr>
          <w:rFonts w:ascii="宋体" w:hAnsi="宋体" w:hint="eastAsia"/>
          <w:sz w:val="30"/>
          <w:szCs w:val="30"/>
        </w:rPr>
        <w:t>0</w:t>
      </w:r>
      <w:r>
        <w:rPr>
          <w:rFonts w:ascii="宋体" w:hAnsi="宋体"/>
          <w:sz w:val="30"/>
          <w:szCs w:val="30"/>
        </w:rPr>
        <w:t xml:space="preserve"> </w:t>
      </w:r>
      <w:r>
        <w:rPr>
          <w:rFonts w:ascii="宋体" w:hAnsi="宋体"/>
          <w:sz w:val="30"/>
          <w:szCs w:val="30"/>
        </w:rPr>
        <w:t>万元</w:t>
      </w:r>
      <w:r>
        <w:rPr>
          <w:rFonts w:ascii="宋体" w:hAnsi="宋体" w:hint="eastAsia"/>
          <w:sz w:val="30"/>
          <w:szCs w:val="30"/>
        </w:rPr>
        <w:t>；（</w:t>
      </w:r>
      <w:r>
        <w:rPr>
          <w:rFonts w:ascii="宋体" w:hAnsi="宋体" w:hint="eastAsia"/>
          <w:sz w:val="30"/>
          <w:szCs w:val="30"/>
        </w:rPr>
        <w:t>2</w:t>
      </w:r>
      <w:r>
        <w:rPr>
          <w:rFonts w:ascii="宋体" w:hAnsi="宋体" w:hint="eastAsia"/>
          <w:sz w:val="30"/>
          <w:szCs w:val="30"/>
        </w:rPr>
        <w:t>）</w:t>
      </w:r>
      <w:r>
        <w:rPr>
          <w:rFonts w:ascii="宋体" w:hAnsi="宋体"/>
          <w:sz w:val="30"/>
          <w:szCs w:val="30"/>
        </w:rPr>
        <w:t>公务接待费</w:t>
      </w:r>
      <w:r>
        <w:rPr>
          <w:rFonts w:ascii="宋体" w:hAnsi="宋体" w:hint="eastAsia"/>
          <w:sz w:val="30"/>
          <w:szCs w:val="30"/>
        </w:rPr>
        <w:t>预算支出</w:t>
      </w:r>
      <w:r>
        <w:rPr>
          <w:rFonts w:ascii="宋体" w:hAnsi="宋体" w:hint="eastAsia"/>
          <w:sz w:val="30"/>
          <w:szCs w:val="30"/>
        </w:rPr>
        <w:t>1.4</w:t>
      </w:r>
      <w:r>
        <w:rPr>
          <w:rFonts w:ascii="宋体" w:hAnsi="宋体"/>
          <w:sz w:val="30"/>
          <w:szCs w:val="30"/>
        </w:rPr>
        <w:t>万元，</w:t>
      </w:r>
      <w:r>
        <w:rPr>
          <w:rFonts w:ascii="宋体" w:hAnsi="宋体" w:hint="eastAsia"/>
          <w:sz w:val="30"/>
          <w:szCs w:val="30"/>
        </w:rPr>
        <w:t>2017</w:t>
      </w:r>
      <w:r>
        <w:rPr>
          <w:rFonts w:ascii="宋体" w:hAnsi="宋体" w:hint="eastAsia"/>
          <w:sz w:val="30"/>
          <w:szCs w:val="30"/>
        </w:rPr>
        <w:t>年预算</w:t>
      </w:r>
      <w:r>
        <w:rPr>
          <w:rFonts w:ascii="宋体" w:hAnsi="宋体" w:hint="eastAsia"/>
          <w:sz w:val="30"/>
          <w:szCs w:val="30"/>
        </w:rPr>
        <w:t>3.1</w:t>
      </w:r>
      <w:r>
        <w:rPr>
          <w:rFonts w:ascii="宋体" w:hAnsi="宋体" w:hint="eastAsia"/>
          <w:sz w:val="30"/>
          <w:szCs w:val="30"/>
        </w:rPr>
        <w:t>万元（含救助站</w:t>
      </w:r>
      <w:r>
        <w:rPr>
          <w:rFonts w:ascii="宋体" w:hAnsi="宋体" w:hint="eastAsia"/>
          <w:sz w:val="30"/>
          <w:szCs w:val="30"/>
        </w:rPr>
        <w:t>0.7</w:t>
      </w:r>
      <w:r>
        <w:rPr>
          <w:rFonts w:ascii="宋体" w:hAnsi="宋体" w:hint="eastAsia"/>
          <w:sz w:val="30"/>
          <w:szCs w:val="30"/>
        </w:rPr>
        <w:t>万元），相比减少了</w:t>
      </w:r>
      <w:r>
        <w:rPr>
          <w:rFonts w:ascii="宋体" w:hAnsi="宋体" w:hint="eastAsia"/>
          <w:sz w:val="30"/>
          <w:szCs w:val="30"/>
        </w:rPr>
        <w:t>1.7</w:t>
      </w:r>
      <w:r>
        <w:rPr>
          <w:rFonts w:ascii="宋体" w:hAnsi="宋体" w:hint="eastAsia"/>
          <w:sz w:val="30"/>
          <w:szCs w:val="30"/>
        </w:rPr>
        <w:t>万元，减幅</w:t>
      </w:r>
      <w:r>
        <w:rPr>
          <w:rFonts w:ascii="宋体" w:hAnsi="宋体" w:hint="eastAsia"/>
          <w:sz w:val="30"/>
          <w:szCs w:val="30"/>
        </w:rPr>
        <w:t>45</w:t>
      </w:r>
      <w:r>
        <w:rPr>
          <w:rFonts w:ascii="宋体" w:eastAsia="宋体" w:hAnsi="宋体" w:cs="宋体" w:hint="eastAsia"/>
          <w:sz w:val="30"/>
          <w:szCs w:val="30"/>
        </w:rPr>
        <w:t>％</w:t>
      </w:r>
      <w:r>
        <w:rPr>
          <w:rFonts w:ascii="宋体" w:hAnsi="宋体" w:cs="宋体" w:hint="eastAsia"/>
          <w:sz w:val="30"/>
          <w:szCs w:val="30"/>
        </w:rPr>
        <w:t>。减少的原因是，局机关压缩公务接待费</w:t>
      </w:r>
      <w:r>
        <w:rPr>
          <w:rFonts w:ascii="宋体" w:hAnsi="宋体" w:cs="宋体" w:hint="eastAsia"/>
          <w:sz w:val="30"/>
          <w:szCs w:val="30"/>
        </w:rPr>
        <w:t>1</w:t>
      </w:r>
      <w:r>
        <w:rPr>
          <w:rFonts w:ascii="宋体" w:hAnsi="宋体" w:cs="宋体" w:hint="eastAsia"/>
          <w:sz w:val="30"/>
          <w:szCs w:val="30"/>
        </w:rPr>
        <w:t>万元，救助站运行经费中没有再安排公务接待费；（</w:t>
      </w:r>
      <w:r>
        <w:rPr>
          <w:rFonts w:ascii="宋体" w:hAnsi="宋体" w:cs="宋体" w:hint="eastAsia"/>
          <w:sz w:val="30"/>
          <w:szCs w:val="30"/>
        </w:rPr>
        <w:t>3</w:t>
      </w:r>
      <w:r>
        <w:rPr>
          <w:rFonts w:ascii="宋体" w:hAnsi="宋体" w:cs="宋体" w:hint="eastAsia"/>
          <w:sz w:val="30"/>
          <w:szCs w:val="30"/>
        </w:rPr>
        <w:t>）</w:t>
      </w:r>
      <w:r>
        <w:rPr>
          <w:rFonts w:ascii="宋体" w:hAnsi="宋体" w:cs="宋体" w:hint="eastAsia"/>
          <w:sz w:val="30"/>
          <w:szCs w:val="30"/>
        </w:rPr>
        <w:t xml:space="preserve"> </w:t>
      </w:r>
      <w:r>
        <w:rPr>
          <w:rFonts w:ascii="宋体" w:hAnsi="宋体"/>
          <w:sz w:val="30"/>
          <w:szCs w:val="30"/>
        </w:rPr>
        <w:t>公务用车运行维护费</w:t>
      </w:r>
      <w:r>
        <w:rPr>
          <w:rFonts w:ascii="宋体" w:hAnsi="宋体" w:hint="eastAsia"/>
          <w:sz w:val="30"/>
          <w:szCs w:val="30"/>
        </w:rPr>
        <w:t>预算支出</w:t>
      </w:r>
      <w:r>
        <w:rPr>
          <w:rFonts w:ascii="宋体" w:hAnsi="宋体" w:hint="eastAsia"/>
          <w:sz w:val="30"/>
          <w:szCs w:val="30"/>
        </w:rPr>
        <w:t>2.2</w:t>
      </w:r>
      <w:r>
        <w:rPr>
          <w:rFonts w:ascii="宋体" w:hAnsi="宋体"/>
          <w:sz w:val="30"/>
          <w:szCs w:val="30"/>
        </w:rPr>
        <w:t>万元</w:t>
      </w:r>
      <w:r>
        <w:rPr>
          <w:rFonts w:ascii="宋体" w:hAnsi="宋体" w:hint="eastAsia"/>
          <w:sz w:val="30"/>
          <w:szCs w:val="30"/>
        </w:rPr>
        <w:t>。</w:t>
      </w:r>
      <w:r>
        <w:rPr>
          <w:rFonts w:ascii="宋体" w:hAnsi="宋体" w:hint="eastAsia"/>
          <w:sz w:val="30"/>
          <w:szCs w:val="30"/>
        </w:rPr>
        <w:t>2017</w:t>
      </w:r>
      <w:r>
        <w:rPr>
          <w:rFonts w:ascii="宋体" w:hAnsi="宋体" w:hint="eastAsia"/>
          <w:sz w:val="30"/>
          <w:szCs w:val="30"/>
        </w:rPr>
        <w:t>年预算支出</w:t>
      </w:r>
      <w:r>
        <w:rPr>
          <w:rFonts w:ascii="宋体" w:hAnsi="宋体" w:hint="eastAsia"/>
          <w:sz w:val="30"/>
          <w:szCs w:val="30"/>
        </w:rPr>
        <w:t>3.8</w:t>
      </w:r>
      <w:r>
        <w:rPr>
          <w:rFonts w:ascii="宋体" w:hAnsi="宋体" w:hint="eastAsia"/>
          <w:sz w:val="30"/>
          <w:szCs w:val="30"/>
        </w:rPr>
        <w:t>万元（含殡葬所</w:t>
      </w:r>
      <w:r>
        <w:rPr>
          <w:rFonts w:ascii="宋体" w:hAnsi="宋体" w:hint="eastAsia"/>
          <w:sz w:val="30"/>
          <w:szCs w:val="30"/>
        </w:rPr>
        <w:t>0.6</w:t>
      </w:r>
      <w:r>
        <w:rPr>
          <w:rFonts w:ascii="宋体" w:hAnsi="宋体" w:hint="eastAsia"/>
          <w:sz w:val="30"/>
          <w:szCs w:val="30"/>
        </w:rPr>
        <w:t>万元），相比减少了</w:t>
      </w:r>
      <w:r>
        <w:rPr>
          <w:rFonts w:ascii="宋体" w:hAnsi="宋体" w:hint="eastAsia"/>
          <w:sz w:val="30"/>
          <w:szCs w:val="30"/>
        </w:rPr>
        <w:t>1.6</w:t>
      </w:r>
      <w:r>
        <w:rPr>
          <w:rFonts w:ascii="宋体" w:hAnsi="宋体" w:hint="eastAsia"/>
          <w:sz w:val="30"/>
          <w:szCs w:val="30"/>
        </w:rPr>
        <w:t>万元，减幅</w:t>
      </w:r>
      <w:r>
        <w:rPr>
          <w:rFonts w:ascii="宋体" w:hAnsi="宋体" w:hint="eastAsia"/>
          <w:sz w:val="30"/>
          <w:szCs w:val="30"/>
        </w:rPr>
        <w:t>58</w:t>
      </w:r>
      <w:r>
        <w:rPr>
          <w:rFonts w:ascii="宋体" w:eastAsia="宋体" w:hAnsi="宋体" w:cs="宋体" w:hint="eastAsia"/>
          <w:sz w:val="30"/>
          <w:szCs w:val="30"/>
        </w:rPr>
        <w:t>％</w:t>
      </w:r>
      <w:r>
        <w:rPr>
          <w:rFonts w:ascii="宋体" w:hAnsi="宋体" w:cs="宋体" w:hint="eastAsia"/>
          <w:sz w:val="30"/>
          <w:szCs w:val="30"/>
        </w:rPr>
        <w:t>。减少的原因是，局机关压缩</w:t>
      </w:r>
      <w:r>
        <w:rPr>
          <w:rFonts w:ascii="宋体" w:hAnsi="宋体"/>
          <w:sz w:val="30"/>
          <w:szCs w:val="30"/>
        </w:rPr>
        <w:t>公务用车运行维护费</w:t>
      </w:r>
      <w:r>
        <w:rPr>
          <w:rFonts w:ascii="宋体" w:hAnsi="宋体" w:cs="宋体" w:hint="eastAsia"/>
          <w:sz w:val="30"/>
          <w:szCs w:val="30"/>
        </w:rPr>
        <w:t>1</w:t>
      </w:r>
      <w:r>
        <w:rPr>
          <w:rFonts w:ascii="宋体" w:hAnsi="宋体" w:cs="宋体" w:hint="eastAsia"/>
          <w:sz w:val="30"/>
          <w:szCs w:val="30"/>
        </w:rPr>
        <w:t>万元，殡葬所在运行经</w:t>
      </w:r>
      <w:r>
        <w:rPr>
          <w:rFonts w:ascii="宋体" w:hAnsi="宋体" w:cs="宋体" w:hint="eastAsia"/>
          <w:sz w:val="30"/>
          <w:szCs w:val="30"/>
        </w:rPr>
        <w:lastRenderedPageBreak/>
        <w:t>费中没有再安排</w:t>
      </w:r>
      <w:r>
        <w:rPr>
          <w:rFonts w:ascii="宋体" w:hAnsi="宋体"/>
          <w:sz w:val="30"/>
          <w:szCs w:val="30"/>
        </w:rPr>
        <w:t>公务用车运行维护费</w:t>
      </w:r>
      <w:r>
        <w:rPr>
          <w:rFonts w:ascii="宋体" w:hAnsi="宋体" w:hint="eastAsia"/>
          <w:sz w:val="30"/>
          <w:szCs w:val="30"/>
        </w:rPr>
        <w:t>。</w:t>
      </w:r>
    </w:p>
    <w:p w:rsidR="00F62FAF" w:rsidRDefault="009D30B9">
      <w:pPr>
        <w:ind w:firstLineChars="300" w:firstLine="900"/>
        <w:rPr>
          <w:rFonts w:ascii="宋体" w:hAnsi="宋体"/>
          <w:sz w:val="30"/>
          <w:szCs w:val="30"/>
        </w:rPr>
      </w:pPr>
      <w:r>
        <w:rPr>
          <w:rFonts w:ascii="宋体" w:hAnsi="宋体"/>
          <w:sz w:val="30"/>
          <w:szCs w:val="30"/>
        </w:rPr>
        <w:t xml:space="preserve"> 2018 </w:t>
      </w:r>
      <w:r>
        <w:rPr>
          <w:rFonts w:ascii="宋体" w:hAnsi="宋体"/>
          <w:sz w:val="30"/>
          <w:szCs w:val="30"/>
        </w:rPr>
        <w:t>年</w:t>
      </w:r>
      <w:r>
        <w:rPr>
          <w:rFonts w:ascii="宋体" w:hAnsi="宋体" w:hint="eastAsia"/>
          <w:sz w:val="30"/>
          <w:szCs w:val="30"/>
        </w:rPr>
        <w:t>民政局本级机关</w:t>
      </w:r>
      <w:r>
        <w:rPr>
          <w:rFonts w:ascii="宋体" w:hAnsi="宋体"/>
          <w:sz w:val="30"/>
          <w:szCs w:val="30"/>
        </w:rPr>
        <w:t>会议费预算</w:t>
      </w:r>
      <w:r>
        <w:rPr>
          <w:rFonts w:ascii="宋体" w:hAnsi="宋体" w:hint="eastAsia"/>
          <w:sz w:val="30"/>
          <w:szCs w:val="30"/>
        </w:rPr>
        <w:t>支出</w:t>
      </w:r>
      <w:r>
        <w:rPr>
          <w:rFonts w:ascii="宋体" w:hAnsi="宋体" w:hint="eastAsia"/>
          <w:sz w:val="30"/>
          <w:szCs w:val="30"/>
        </w:rPr>
        <w:t>0.3</w:t>
      </w:r>
      <w:r>
        <w:rPr>
          <w:rFonts w:ascii="宋体" w:hAnsi="宋体"/>
          <w:sz w:val="30"/>
          <w:szCs w:val="30"/>
        </w:rPr>
        <w:t>万元</w:t>
      </w:r>
      <w:r>
        <w:rPr>
          <w:rFonts w:ascii="宋体" w:hAnsi="宋体" w:hint="eastAsia"/>
          <w:sz w:val="30"/>
          <w:szCs w:val="30"/>
        </w:rPr>
        <w:t>，</w:t>
      </w:r>
      <w:r>
        <w:rPr>
          <w:rFonts w:ascii="宋体" w:hAnsi="宋体"/>
          <w:sz w:val="30"/>
          <w:szCs w:val="30"/>
        </w:rPr>
        <w:t>培训费预算</w:t>
      </w:r>
      <w:r>
        <w:rPr>
          <w:rFonts w:ascii="宋体" w:hAnsi="宋体" w:hint="eastAsia"/>
          <w:sz w:val="30"/>
          <w:szCs w:val="30"/>
        </w:rPr>
        <w:t>支出</w:t>
      </w:r>
      <w:r>
        <w:rPr>
          <w:rFonts w:ascii="宋体" w:hAnsi="宋体" w:hint="eastAsia"/>
          <w:sz w:val="30"/>
          <w:szCs w:val="30"/>
        </w:rPr>
        <w:t>0.5</w:t>
      </w:r>
      <w:r>
        <w:rPr>
          <w:rFonts w:ascii="宋体" w:hAnsi="宋体"/>
          <w:sz w:val="30"/>
          <w:szCs w:val="30"/>
        </w:rPr>
        <w:t>万元，</w:t>
      </w:r>
      <w:r>
        <w:rPr>
          <w:rFonts w:ascii="宋体" w:hAnsi="宋体" w:hint="eastAsia"/>
          <w:sz w:val="30"/>
          <w:szCs w:val="30"/>
        </w:rPr>
        <w:t>与上年度基本持平。下属单位在运行经费中没有预算会议费、培训费。</w:t>
      </w:r>
    </w:p>
    <w:p w:rsidR="00F62FAF" w:rsidRDefault="009D30B9">
      <w:pPr>
        <w:ind w:firstLineChars="300" w:firstLine="900"/>
        <w:rPr>
          <w:rFonts w:ascii="宋体" w:eastAsia="宋体" w:hAnsi="宋体"/>
          <w:sz w:val="30"/>
          <w:szCs w:val="30"/>
        </w:rPr>
      </w:pPr>
      <w:r>
        <w:rPr>
          <w:rFonts w:ascii="宋体" w:hAnsi="宋体" w:hint="eastAsia"/>
          <w:sz w:val="30"/>
          <w:szCs w:val="30"/>
        </w:rPr>
        <w:t>2018</w:t>
      </w:r>
      <w:r>
        <w:rPr>
          <w:rFonts w:ascii="宋体" w:hAnsi="宋体" w:hint="eastAsia"/>
          <w:sz w:val="30"/>
          <w:szCs w:val="30"/>
        </w:rPr>
        <w:t>年部门预算各项办公费支出</w:t>
      </w:r>
      <w:r>
        <w:rPr>
          <w:rFonts w:ascii="宋体" w:hAnsi="宋体" w:hint="eastAsia"/>
          <w:sz w:val="30"/>
          <w:szCs w:val="30"/>
        </w:rPr>
        <w:t>10</w:t>
      </w:r>
      <w:r>
        <w:rPr>
          <w:rFonts w:ascii="宋体" w:hAnsi="宋体" w:hint="eastAsia"/>
          <w:sz w:val="30"/>
          <w:szCs w:val="30"/>
        </w:rPr>
        <w:t>万元。占一般预算运行经费</w:t>
      </w:r>
      <w:r>
        <w:rPr>
          <w:rFonts w:ascii="宋体" w:hAnsi="宋体" w:hint="eastAsia"/>
          <w:sz w:val="30"/>
          <w:szCs w:val="30"/>
        </w:rPr>
        <w:t>14.4</w:t>
      </w:r>
      <w:r>
        <w:rPr>
          <w:rFonts w:ascii="宋体" w:hAnsi="宋体" w:hint="eastAsia"/>
          <w:sz w:val="30"/>
          <w:szCs w:val="30"/>
        </w:rPr>
        <w:t>万元的</w:t>
      </w:r>
      <w:r>
        <w:rPr>
          <w:rFonts w:ascii="宋体" w:hAnsi="宋体" w:hint="eastAsia"/>
          <w:sz w:val="30"/>
          <w:szCs w:val="30"/>
        </w:rPr>
        <w:t>69.44</w:t>
      </w:r>
      <w:r>
        <w:rPr>
          <w:rFonts w:ascii="宋体" w:eastAsia="宋体" w:hAnsi="宋体" w:cs="宋体" w:hint="eastAsia"/>
          <w:sz w:val="30"/>
          <w:szCs w:val="30"/>
        </w:rPr>
        <w:t>％</w:t>
      </w:r>
      <w:r>
        <w:rPr>
          <w:rFonts w:ascii="宋体" w:hAnsi="宋体" w:cs="宋体" w:hint="eastAsia"/>
          <w:sz w:val="30"/>
          <w:szCs w:val="30"/>
        </w:rPr>
        <w:t>.</w:t>
      </w:r>
    </w:p>
    <w:p w:rsidR="00F62FAF" w:rsidRDefault="00F62FAF">
      <w:pPr>
        <w:ind w:firstLineChars="200" w:firstLine="640"/>
        <w:rPr>
          <w:rFonts w:ascii="仿宋_GB2312" w:eastAsia="仿宋_GB2312"/>
          <w:sz w:val="32"/>
          <w:szCs w:val="32"/>
        </w:rPr>
      </w:pPr>
    </w:p>
    <w:p w:rsidR="00F62FAF" w:rsidRDefault="009D30B9">
      <w:pPr>
        <w:rPr>
          <w:rFonts w:ascii="仿宋_GB2312" w:eastAsia="仿宋_GB2312"/>
          <w:sz w:val="32"/>
          <w:szCs w:val="32"/>
        </w:rPr>
      </w:pPr>
      <w:r>
        <w:rPr>
          <w:rFonts w:ascii="仿宋_GB2312" w:eastAsia="仿宋_GB2312" w:hint="eastAsia"/>
          <w:noProof/>
          <w:sz w:val="32"/>
          <w:szCs w:val="32"/>
        </w:rPr>
        <w:drawing>
          <wp:inline distT="0" distB="0" distL="0" distR="0">
            <wp:extent cx="5356860" cy="2561590"/>
            <wp:effectExtent l="0" t="0" r="15240" b="1016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2FAF" w:rsidRDefault="009D30B9">
      <w:pPr>
        <w:ind w:firstLineChars="200" w:firstLine="643"/>
        <w:rPr>
          <w:rFonts w:ascii="仿宋_GB2312" w:eastAsia="仿宋_GB2312"/>
          <w:b/>
          <w:bCs/>
          <w:sz w:val="32"/>
          <w:szCs w:val="32"/>
        </w:rPr>
      </w:pPr>
      <w:r>
        <w:rPr>
          <w:rFonts w:ascii="仿宋_GB2312" w:eastAsia="仿宋_GB2312" w:hint="eastAsia"/>
          <w:b/>
          <w:bCs/>
          <w:sz w:val="32"/>
          <w:szCs w:val="32"/>
        </w:rPr>
        <w:t>（七）机关运行经费安排情况。</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2018 年度机关运行经费财政拨款预算9.6 万元，比上年度减少了0.4万元，减少原因是在职人数核减了一名退休人员。</w:t>
      </w:r>
    </w:p>
    <w:p w:rsidR="00F62FAF" w:rsidRDefault="009D30B9">
      <w:pPr>
        <w:ind w:firstLineChars="200" w:firstLine="643"/>
        <w:rPr>
          <w:rFonts w:ascii="仿宋_GB2312" w:eastAsia="仿宋_GB2312"/>
          <w:sz w:val="32"/>
          <w:szCs w:val="32"/>
        </w:rPr>
      </w:pPr>
      <w:r>
        <w:rPr>
          <w:rFonts w:ascii="仿宋_GB2312" w:eastAsia="仿宋_GB2312" w:hint="eastAsia"/>
          <w:b/>
          <w:bCs/>
          <w:sz w:val="32"/>
          <w:szCs w:val="32"/>
        </w:rPr>
        <w:t>（八）政府采购情况。</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本部门2018年无政府采购预算，并已公开空表。</w:t>
      </w:r>
    </w:p>
    <w:p w:rsidR="00F62FAF" w:rsidRDefault="009D30B9">
      <w:pPr>
        <w:rPr>
          <w:rFonts w:ascii="黑体" w:eastAsia="黑体" w:hAnsi="黑体"/>
          <w:sz w:val="32"/>
          <w:szCs w:val="32"/>
        </w:rPr>
      </w:pPr>
      <w:r>
        <w:rPr>
          <w:rFonts w:ascii="黑体" w:eastAsia="黑体" w:hAnsi="黑体" w:hint="eastAsia"/>
          <w:sz w:val="32"/>
          <w:szCs w:val="32"/>
        </w:rPr>
        <w:t>八、专业名词解释</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b/>
          <w:bCs/>
          <w:sz w:val="32"/>
          <w:szCs w:val="32"/>
        </w:rPr>
        <w:t>机关运行经费</w:t>
      </w:r>
      <w:r>
        <w:rPr>
          <w:rFonts w:ascii="仿宋_GB2312" w:eastAsia="仿宋_GB2312" w:hint="eastAsia"/>
          <w:sz w:val="32"/>
          <w:szCs w:val="32"/>
        </w:rPr>
        <w:t>：各部门的公用经费，含办公及印刷费、邮电费、差旅费、会议费、福 利费、日常维修费、</w:t>
      </w:r>
      <w:r>
        <w:rPr>
          <w:rFonts w:ascii="仿宋_GB2312" w:eastAsia="仿宋_GB2312" w:hint="eastAsia"/>
          <w:sz w:val="32"/>
          <w:szCs w:val="32"/>
        </w:rPr>
        <w:lastRenderedPageBreak/>
        <w:t>专用材料及一般设备购置费、办公用房水电费、办公用房取暖费、办公用房 物业管理费、公务用车维护费以及其他费用（出自财预〔2016〕143 号、陕财办预〔2016〕141 号 文件）。</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b/>
          <w:bCs/>
          <w:sz w:val="32"/>
          <w:szCs w:val="32"/>
        </w:rPr>
        <w:t>人员和公用经费支出</w:t>
      </w:r>
      <w:r>
        <w:rPr>
          <w:rFonts w:ascii="仿宋_GB2312" w:eastAsia="仿宋_GB2312" w:hint="eastAsia"/>
          <w:sz w:val="32"/>
          <w:szCs w:val="32"/>
        </w:rPr>
        <w:t>： 包括工资福利支出、 商品服务支出、 对个人和家庭的补助支出。</w:t>
      </w:r>
    </w:p>
    <w:p w:rsidR="00F62FAF" w:rsidRDefault="009D30B9">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b/>
          <w:bCs/>
          <w:sz w:val="32"/>
          <w:szCs w:val="32"/>
        </w:rPr>
        <w:t>专项业务经费</w:t>
      </w:r>
      <w:r>
        <w:rPr>
          <w:rFonts w:ascii="仿宋_GB2312" w:eastAsia="仿宋_GB2312" w:hint="eastAsia"/>
          <w:sz w:val="32"/>
          <w:szCs w:val="32"/>
        </w:rPr>
        <w:t>:是指在基本支出之外完成特定行政任务和事业发展目标所发生的支出。</w:t>
      </w:r>
    </w:p>
    <w:p w:rsidR="00F62FAF" w:rsidRDefault="00F62FAF">
      <w:pPr>
        <w:ind w:firstLineChars="200" w:firstLine="640"/>
        <w:rPr>
          <w:rFonts w:ascii="仿宋_GB2312" w:eastAsia="仿宋_GB2312"/>
          <w:sz w:val="32"/>
          <w:szCs w:val="32"/>
        </w:rPr>
      </w:pPr>
    </w:p>
    <w:p w:rsidR="00F62FAF" w:rsidRDefault="009D30B9">
      <w:pPr>
        <w:ind w:firstLineChars="1600" w:firstLine="5783"/>
        <w:rPr>
          <w:rFonts w:ascii="仿宋_GB2312" w:eastAsia="仿宋_GB2312"/>
          <w:b/>
          <w:bCs/>
          <w:sz w:val="36"/>
          <w:szCs w:val="36"/>
        </w:rPr>
      </w:pPr>
      <w:r>
        <w:rPr>
          <w:rFonts w:ascii="仿宋_GB2312" w:eastAsia="仿宋_GB2312" w:hint="eastAsia"/>
          <w:b/>
          <w:bCs/>
          <w:sz w:val="36"/>
          <w:szCs w:val="36"/>
        </w:rPr>
        <w:t>镇安县民政局</w:t>
      </w:r>
    </w:p>
    <w:p w:rsidR="00F62FAF" w:rsidRDefault="009D30B9">
      <w:pPr>
        <w:ind w:firstLineChars="200" w:firstLine="723"/>
        <w:rPr>
          <w:rFonts w:ascii="仿宋_GB2312" w:eastAsia="仿宋_GB2312"/>
          <w:b/>
          <w:bCs/>
          <w:sz w:val="36"/>
          <w:szCs w:val="36"/>
        </w:rPr>
      </w:pPr>
      <w:r>
        <w:rPr>
          <w:rFonts w:ascii="仿宋_GB2312" w:eastAsia="仿宋_GB2312" w:hint="eastAsia"/>
          <w:b/>
          <w:bCs/>
          <w:sz w:val="36"/>
          <w:szCs w:val="36"/>
        </w:rPr>
        <w:t xml:space="preserve">                           2018年3月15日</w:t>
      </w:r>
    </w:p>
    <w:sectPr w:rsidR="00F62FAF" w:rsidSect="00F62F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B1B" w:rsidRDefault="007F7B1B" w:rsidP="002B4417">
      <w:r>
        <w:separator/>
      </w:r>
    </w:p>
  </w:endnote>
  <w:endnote w:type="continuationSeparator" w:id="1">
    <w:p w:rsidR="007F7B1B" w:rsidRDefault="007F7B1B" w:rsidP="002B4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B1B" w:rsidRDefault="007F7B1B" w:rsidP="002B4417">
      <w:r>
        <w:separator/>
      </w:r>
    </w:p>
  </w:footnote>
  <w:footnote w:type="continuationSeparator" w:id="1">
    <w:p w:rsidR="007F7B1B" w:rsidRDefault="007F7B1B" w:rsidP="002B4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67A10B"/>
    <w:multiLevelType w:val="singleLevel"/>
    <w:tmpl w:val="8467A10B"/>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3495"/>
    <w:rsid w:val="00017F7E"/>
    <w:rsid w:val="000558D9"/>
    <w:rsid w:val="00093309"/>
    <w:rsid w:val="000F09AB"/>
    <w:rsid w:val="000F1F31"/>
    <w:rsid w:val="00102C60"/>
    <w:rsid w:val="0015394F"/>
    <w:rsid w:val="001D253F"/>
    <w:rsid w:val="002B4417"/>
    <w:rsid w:val="00331F16"/>
    <w:rsid w:val="00424BDD"/>
    <w:rsid w:val="00441103"/>
    <w:rsid w:val="004C359B"/>
    <w:rsid w:val="005C2728"/>
    <w:rsid w:val="005F6AC5"/>
    <w:rsid w:val="00685866"/>
    <w:rsid w:val="006F3681"/>
    <w:rsid w:val="007F7B1B"/>
    <w:rsid w:val="00847C27"/>
    <w:rsid w:val="008B1945"/>
    <w:rsid w:val="009D30B9"/>
    <w:rsid w:val="00A077DC"/>
    <w:rsid w:val="00A70A2B"/>
    <w:rsid w:val="00B17131"/>
    <w:rsid w:val="00CB2CEF"/>
    <w:rsid w:val="00CB783C"/>
    <w:rsid w:val="00CC03FC"/>
    <w:rsid w:val="00D03A93"/>
    <w:rsid w:val="00E63495"/>
    <w:rsid w:val="00F62FAF"/>
    <w:rsid w:val="141C0D77"/>
    <w:rsid w:val="4D2E7E78"/>
    <w:rsid w:val="57235616"/>
    <w:rsid w:val="67C13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62FA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62F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62FAF"/>
    <w:rPr>
      <w:sz w:val="18"/>
      <w:szCs w:val="18"/>
    </w:rPr>
  </w:style>
  <w:style w:type="character" w:customStyle="1" w:styleId="Char">
    <w:name w:val="页脚 Char"/>
    <w:basedOn w:val="a0"/>
    <w:link w:val="a3"/>
    <w:uiPriority w:val="99"/>
    <w:qFormat/>
    <w:rsid w:val="00F62FAF"/>
    <w:rPr>
      <w:sz w:val="18"/>
      <w:szCs w:val="18"/>
    </w:rPr>
  </w:style>
  <w:style w:type="paragraph" w:styleId="a5">
    <w:name w:val="Balloon Text"/>
    <w:basedOn w:val="a"/>
    <w:link w:val="Char1"/>
    <w:uiPriority w:val="99"/>
    <w:semiHidden/>
    <w:unhideWhenUsed/>
    <w:rsid w:val="002B4417"/>
    <w:rPr>
      <w:sz w:val="18"/>
      <w:szCs w:val="18"/>
    </w:rPr>
  </w:style>
  <w:style w:type="character" w:customStyle="1" w:styleId="Char1">
    <w:name w:val="批注框文本 Char"/>
    <w:basedOn w:val="a0"/>
    <w:link w:val="a5"/>
    <w:uiPriority w:val="99"/>
    <w:semiHidden/>
    <w:rsid w:val="002B441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总人数</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编制人数</c:v>
                </c:pt>
                <c:pt idx="1">
                  <c:v>实有人数</c:v>
                </c:pt>
              </c:strCache>
            </c:strRef>
          </c:cat>
          <c:val>
            <c:numRef>
              <c:f>Sheet1!$B$2:$B$3</c:f>
              <c:numCache>
                <c:formatCode>General</c:formatCode>
                <c:ptCount val="2"/>
                <c:pt idx="0">
                  <c:v>34</c:v>
                </c:pt>
                <c:pt idx="1">
                  <c:v>40</c:v>
                </c:pt>
              </c:numCache>
            </c:numRef>
          </c:val>
        </c:ser>
        <c:ser>
          <c:idx val="1"/>
          <c:order val="1"/>
          <c:tx>
            <c:strRef>
              <c:f>Sheet1!$C$1</c:f>
              <c:strCache>
                <c:ptCount val="1"/>
                <c:pt idx="0">
                  <c:v>行政编制</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编制人数</c:v>
                </c:pt>
                <c:pt idx="1">
                  <c:v>实有人数</c:v>
                </c:pt>
              </c:strCache>
            </c:strRef>
          </c:cat>
          <c:val>
            <c:numRef>
              <c:f>Sheet1!$C$2:$C$3</c:f>
              <c:numCache>
                <c:formatCode>General</c:formatCode>
                <c:ptCount val="2"/>
                <c:pt idx="0">
                  <c:v>11</c:v>
                </c:pt>
                <c:pt idx="1">
                  <c:v>15</c:v>
                </c:pt>
              </c:numCache>
            </c:numRef>
          </c:val>
        </c:ser>
        <c:ser>
          <c:idx val="2"/>
          <c:order val="2"/>
          <c:tx>
            <c:strRef>
              <c:f>Sheet1!$D$1</c:f>
              <c:strCache>
                <c:ptCount val="1"/>
                <c:pt idx="0">
                  <c:v>事业编制</c:v>
                </c:pt>
              </c:strCache>
            </c:strRef>
          </c:tx>
          <c:spPr>
            <a:solidFill>
              <a:srgbClr val="92D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编制人数</c:v>
                </c:pt>
                <c:pt idx="1">
                  <c:v>实有人数</c:v>
                </c:pt>
              </c:strCache>
            </c:strRef>
          </c:cat>
          <c:val>
            <c:numRef>
              <c:f>Sheet1!$D$2:$D$3</c:f>
              <c:numCache>
                <c:formatCode>General</c:formatCode>
                <c:ptCount val="2"/>
                <c:pt idx="0">
                  <c:v>23</c:v>
                </c:pt>
                <c:pt idx="1">
                  <c:v>25</c:v>
                </c:pt>
              </c:numCache>
            </c:numRef>
          </c:val>
        </c:ser>
        <c:gapWidth val="219"/>
        <c:overlap val="-27"/>
        <c:axId val="146472320"/>
        <c:axId val="229708928"/>
      </c:barChart>
      <c:catAx>
        <c:axId val="1464723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endParaRPr lang="zh-CN"/>
          </a:p>
        </c:txPr>
        <c:crossAx val="229708928"/>
        <c:crosses val="autoZero"/>
        <c:auto val="1"/>
        <c:lblAlgn val="ctr"/>
        <c:lblOffset val="100"/>
      </c:catAx>
      <c:valAx>
        <c:axId val="2297089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64723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一般公共服务支出</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2017年支出数（万元）</c:v>
                </c:pt>
                <c:pt idx="1">
                  <c:v>2018年支出数（万元）</c:v>
                </c:pt>
              </c:strCache>
            </c:strRef>
          </c:cat>
          <c:val>
            <c:numRef>
              <c:f>Sheet1!$B$2:$B$3</c:f>
              <c:numCache>
                <c:formatCode>General</c:formatCode>
                <c:ptCount val="2"/>
                <c:pt idx="0">
                  <c:v>351.59</c:v>
                </c:pt>
                <c:pt idx="1">
                  <c:v>826.51</c:v>
                </c:pt>
              </c:numCache>
            </c:numRef>
          </c:val>
        </c:ser>
        <c:ser>
          <c:idx val="1"/>
          <c:order val="1"/>
          <c:tx>
            <c:strRef>
              <c:f>Sheet1!$C$1</c:f>
              <c:strCache>
                <c:ptCount val="1"/>
                <c:pt idx="0">
                  <c:v>社会保障和就业支出</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2017年支出数（万元）</c:v>
                </c:pt>
                <c:pt idx="1">
                  <c:v>2018年支出数（万元）</c:v>
                </c:pt>
              </c:strCache>
            </c:strRef>
          </c:cat>
          <c:val>
            <c:numRef>
              <c:f>Sheet1!$C$2:$C$3</c:f>
              <c:numCache>
                <c:formatCode>General</c:formatCode>
                <c:ptCount val="2"/>
                <c:pt idx="0">
                  <c:v>1318.34</c:v>
                </c:pt>
                <c:pt idx="1">
                  <c:v>1318.34</c:v>
                </c:pt>
              </c:numCache>
            </c:numRef>
          </c:val>
        </c:ser>
        <c:dLbls>
          <c:showVal val="1"/>
        </c:dLbls>
        <c:gapWidth val="219"/>
        <c:overlap val="-27"/>
        <c:axId val="245405568"/>
        <c:axId val="245407104"/>
      </c:barChart>
      <c:catAx>
        <c:axId val="245405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crossAx val="245407104"/>
        <c:crosses val="autoZero"/>
        <c:auto val="1"/>
        <c:lblAlgn val="ctr"/>
        <c:lblOffset val="100"/>
      </c:catAx>
      <c:valAx>
        <c:axId val="2454071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54055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endParaRPr lang="zh-CN"/>
        </a:p>
      </c:txPr>
    </c:title>
    <c:plotArea>
      <c:layout>
        <c:manualLayout>
          <c:layoutTarget val="inner"/>
          <c:xMode val="edge"/>
          <c:yMode val="edge"/>
          <c:x val="7.9148397266668197E-2"/>
          <c:y val="3.793103448275862E-2"/>
          <c:w val="0.894126627028764"/>
          <c:h val="0.60332853651914276"/>
        </c:manualLayout>
      </c:layout>
      <c:barChart>
        <c:barDir val="col"/>
        <c:grouping val="clustered"/>
        <c:ser>
          <c:idx val="0"/>
          <c:order val="0"/>
          <c:tx>
            <c:strRef>
              <c:f>Sheet1!$B$1</c:f>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dLbl>
              <c:idx val="0"/>
              <c:layout>
                <c:manualLayout>
                  <c:x val="0"/>
                  <c:y val="1.0443864229765013E-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chemeClr val="tx2"/>
                      </a:solidFill>
                      <a:latin typeface="+mn-lt"/>
                      <a:ea typeface="+mn-ea"/>
                      <a:cs typeface="+mn-cs"/>
                    </a:defRPr>
                  </a:pPr>
                  <a:endParaRPr lang="zh-CN"/>
                </a:p>
              </c:txPr>
              <c:dLblPos val="outEnd"/>
              <c:showVal val="1"/>
              <c:extLst>
                <c:ext xmlns:c15="http://schemas.microsoft.com/office/drawing/2012/chart" uri="{CE6537A1-D6FC-4f65-9D91-7224C49458BB}">
                  <c15:layout/>
                </c:ext>
              </c:extLst>
            </c:dLbl>
            <c:dLbl>
              <c:idx val="1"/>
              <c:spPr>
                <a:solidFill>
                  <a:schemeClr val="bg1"/>
                </a:solid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chemeClr val="tx2"/>
                      </a:solidFill>
                      <a:latin typeface="+mn-lt"/>
                      <a:ea typeface="+mn-ea"/>
                      <a:cs typeface="+mn-cs"/>
                    </a:defRPr>
                  </a:pPr>
                  <a:endParaRPr lang="zh-CN"/>
                </a:p>
              </c:txPr>
            </c:dLbl>
            <c:dLbl>
              <c:idx val="2"/>
              <c:layout>
                <c:manualLayout>
                  <c:x val="-4.819277108433914E-3"/>
                  <c:y val="1.5665796344647518E-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chemeClr val="tx2"/>
                      </a:solidFill>
                      <a:latin typeface="+mn-lt"/>
                      <a:ea typeface="+mn-ea"/>
                      <a:cs typeface="+mn-cs"/>
                    </a:defRPr>
                  </a:pPr>
                  <a:endParaRPr lang="zh-CN"/>
                </a:p>
              </c:txPr>
              <c:dLblPos val="outEnd"/>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chemeClr val="tx2"/>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Sheet1!$A$2:$A$4</c:f>
              <c:strCache>
                <c:ptCount val="3"/>
                <c:pt idx="0">
                  <c:v>301工资福利支出</c:v>
                </c:pt>
                <c:pt idx="1">
                  <c:v>302商品和服务支出</c:v>
                </c:pt>
                <c:pt idx="2">
                  <c:v>303对家庭和个人支出</c:v>
                </c:pt>
              </c:strCache>
            </c:strRef>
          </c:cat>
          <c:val>
            <c:numRef>
              <c:f>Sheet1!$B$2:$B$4</c:f>
              <c:numCache>
                <c:formatCode>General</c:formatCode>
                <c:ptCount val="3"/>
                <c:pt idx="0">
                  <c:v>703.11</c:v>
                </c:pt>
                <c:pt idx="1">
                  <c:v>123.4</c:v>
                </c:pt>
                <c:pt idx="2">
                  <c:v>1318.34</c:v>
                </c:pt>
              </c:numCache>
            </c:numRef>
          </c:val>
        </c:ser>
        <c:dLbls>
          <c:showVal val="1"/>
        </c:dLbls>
        <c:axId val="245961088"/>
        <c:axId val="245962624"/>
      </c:barChart>
      <c:catAx>
        <c:axId val="24596108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1100" b="0" i="0" u="none" strike="noStrike" kern="1200" baseline="0">
                <a:solidFill>
                  <a:schemeClr val="tx2"/>
                </a:solidFill>
                <a:latin typeface="+mn-lt"/>
                <a:ea typeface="+mn-ea"/>
                <a:cs typeface="+mn-cs"/>
              </a:defRPr>
            </a:pPr>
            <a:endParaRPr lang="zh-CN"/>
          </a:p>
        </c:txPr>
        <c:crossAx val="245962624"/>
        <c:crosses val="autoZero"/>
        <c:auto val="1"/>
        <c:lblAlgn val="ctr"/>
        <c:lblOffset val="100"/>
      </c:catAx>
      <c:valAx>
        <c:axId val="245962624"/>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245961088"/>
        <c:crosses val="autoZero"/>
        <c:crossBetween val="between"/>
      </c:valAx>
      <c:spPr>
        <a:noFill/>
        <a:ln>
          <a:noFill/>
        </a:ln>
        <a:effectLst/>
      </c:spPr>
    </c:plotArea>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1" vertOverflow="ellipsis" vert="horz" wrap="square" anchor="ctr" anchorCtr="1"/>
        <a:lstStyle/>
        <a:p>
          <a:pPr>
            <a:defRPr lang="zh-CN" sz="1400" b="1" i="0" u="none" strike="noStrike" kern="1200" cap="all" baseline="0">
              <a:solidFill>
                <a:schemeClr val="tx1">
                  <a:lumMod val="65000"/>
                  <a:lumOff val="35000"/>
                </a:schemeClr>
              </a:solidFill>
              <a:latin typeface="+mn-lt"/>
              <a:ea typeface="+mn-ea"/>
              <a:cs typeface="+mn-cs"/>
            </a:defRPr>
          </a:pPr>
          <a:endParaRPr lang="zh-CN"/>
        </a:p>
      </c:txPr>
    </c:title>
    <c:plotArea>
      <c:layout>
        <c:manualLayout>
          <c:layoutTarget val="inner"/>
          <c:xMode val="edge"/>
          <c:yMode val="edge"/>
          <c:x val="0.1540742151185579"/>
          <c:y val="0.3637381470102552"/>
          <c:w val="0.67032882026274543"/>
          <c:h val="0.5536949367397197"/>
        </c:manualLayout>
      </c:layout>
      <c:pieChart>
        <c:varyColors val="1"/>
        <c:ser>
          <c:idx val="0"/>
          <c:order val="0"/>
          <c:tx>
            <c:strRef>
              <c:f>Sheet1!$B$1</c:f>
              <c:strCache>
                <c:ptCount val="1"/>
                <c:pt idx="0">
                  <c:v>2018年预算支出数</c:v>
                </c:pt>
              </c:strCache>
            </c:strRef>
          </c:tx>
          <c:dPt>
            <c:idx val="0"/>
            <c:spPr>
              <a:solidFill>
                <a:srgbClr val="00B0F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spPr>
              <a:solidFill>
                <a:srgbClr val="7030A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0.13354745130542925"/>
                  <c:y val="-7.6038515140986723E-2"/>
                </c:manualLayout>
              </c:layout>
              <c:spPr>
                <a:noFill/>
                <a:ln>
                  <a:noFill/>
                </a:ln>
                <a:effectLst/>
              </c:spPr>
              <c:txPr>
                <a:bodyPr rot="0" spcFirstLastPara="1" vertOverflow="ellipsis" vert="horz" wrap="square" lIns="38100" tIns="19050" rIns="38100" bIns="19050" anchor="ctr" anchorCtr="1">
                  <a:noAutofit/>
                </a:bodyPr>
                <a:lstStyle/>
                <a:p>
                  <a:pPr>
                    <a:defRPr lang="zh-CN" sz="1100" b="1" i="0" u="none" strike="noStrike" kern="1200" spc="0" baseline="0">
                      <a:ln>
                        <a:noFill/>
                      </a:ln>
                      <a:solidFill>
                        <a:srgbClr val="00B0F0"/>
                      </a:solidFill>
                      <a:latin typeface="+mn-lt"/>
                      <a:ea typeface="+mn-ea"/>
                      <a:cs typeface="+mn-cs"/>
                    </a:defRPr>
                  </a:pPr>
                  <a:endParaRPr lang="zh-CN"/>
                </a:p>
              </c:txPr>
              <c:dLblPos val="bestFit"/>
              <c:showCatName val="1"/>
              <c:extLst>
                <c:ext xmlns:c15="http://schemas.microsoft.com/office/drawing/2012/chart" uri="{CE6537A1-D6FC-4f65-9D91-7224C49458BB}">
                  <c15:layout>
                    <c:manualLayout>
                      <c:w val="0.27487408668511"/>
                      <c:h val="0.128426875495298"/>
                    </c:manualLayout>
                  </c15:layout>
                </c:ext>
              </c:extLst>
            </c:dLbl>
            <c:dLbl>
              <c:idx val="1"/>
              <c:layout>
                <c:manualLayout>
                  <c:x val="1.4224751066856209E-2"/>
                  <c:y val="1.9519126792343832E-7"/>
                </c:manualLayout>
              </c:layout>
              <c:spPr>
                <a:noFill/>
                <a:ln>
                  <a:noFill/>
                </a:ln>
                <a:effectLst/>
              </c:spPr>
              <c:txPr>
                <a:bodyPr rot="0" spcFirstLastPara="1" vertOverflow="ellipsis" vert="horz" wrap="square" lIns="38100" tIns="19050" rIns="38100" bIns="19050" anchor="ctr" anchorCtr="1">
                  <a:noAutofit/>
                </a:bodyPr>
                <a:lstStyle/>
                <a:p>
                  <a:pPr>
                    <a:defRPr lang="zh-CN" sz="1100" b="1" i="0" u="none" strike="noStrike" kern="1200" spc="0" baseline="0">
                      <a:ln>
                        <a:noFill/>
                      </a:ln>
                      <a:solidFill>
                        <a:schemeClr val="accent2"/>
                      </a:solidFill>
                      <a:latin typeface="+mn-lt"/>
                      <a:ea typeface="+mn-ea"/>
                      <a:cs typeface="+mn-cs"/>
                    </a:defRPr>
                  </a:pPr>
                  <a:endParaRPr lang="zh-CN"/>
                </a:p>
              </c:txPr>
              <c:dLblPos val="bestFit"/>
              <c:showCatName val="1"/>
              <c:extLst>
                <c:ext xmlns:c15="http://schemas.microsoft.com/office/drawing/2012/chart" uri="{CE6537A1-D6FC-4f65-9D91-7224C49458BB}">
                  <c15:layout>
                    <c:manualLayout>
                      <c:w val="0.301588430535799"/>
                      <c:h val="0.132870599900843"/>
                    </c:manualLayout>
                  </c15:layout>
                </c:ext>
              </c:extLst>
            </c:dLbl>
            <c:dLbl>
              <c:idx val="2"/>
              <c:layout>
                <c:manualLayout>
                  <c:x val="-3.0397471653170006E-2"/>
                  <c:y val="8.6415078135064216E-3"/>
                </c:manualLayout>
              </c:layout>
              <c:spPr>
                <a:noFill/>
                <a:ln>
                  <a:noFill/>
                </a:ln>
                <a:effectLst/>
              </c:spPr>
              <c:txPr>
                <a:bodyPr rot="0" spcFirstLastPara="1" vertOverflow="ellipsis" vert="horz" wrap="square" lIns="38100" tIns="19050" rIns="38100" bIns="19050" anchor="ctr" anchorCtr="1">
                  <a:noAutofit/>
                </a:bodyPr>
                <a:lstStyle/>
                <a:p>
                  <a:pPr>
                    <a:defRPr lang="zh-CN" sz="1100" b="1" i="0" u="none" strike="noStrike" kern="1200" spc="0" baseline="0">
                      <a:ln>
                        <a:noFill/>
                      </a:ln>
                      <a:solidFill>
                        <a:srgbClr val="00B050"/>
                      </a:solidFill>
                      <a:latin typeface="+mn-lt"/>
                      <a:ea typeface="+mn-ea"/>
                      <a:cs typeface="+mn-cs"/>
                    </a:defRPr>
                  </a:pPr>
                  <a:endParaRPr lang="zh-CN"/>
                </a:p>
              </c:txPr>
              <c:dLblPos val="bestFit"/>
              <c:showCatName val="1"/>
              <c:extLst>
                <c:ext xmlns:c15="http://schemas.microsoft.com/office/drawing/2012/chart" uri="{CE6537A1-D6FC-4f65-9D91-7224C49458BB}">
                  <c15:layout>
                    <c:manualLayout>
                      <c:w val="0.262941349969945"/>
                      <c:h val="0.210616453062356"/>
                    </c:manualLayout>
                  </c15:layout>
                </c:ext>
              </c:extLst>
            </c:dLbl>
            <c:dLbl>
              <c:idx val="3"/>
              <c:layout>
                <c:manualLayout>
                  <c:x val="-7.2274056070160478E-2"/>
                  <c:y val="-5.7780909513232025E-2"/>
                </c:manualLayout>
              </c:layout>
              <c:spPr>
                <a:noFill/>
                <a:ln>
                  <a:noFill/>
                </a:ln>
                <a:effectLst/>
              </c:spPr>
              <c:txPr>
                <a:bodyPr rot="0" spcFirstLastPara="1" vertOverflow="ellipsis" vert="horz" wrap="square" lIns="38100" tIns="19050" rIns="38100" bIns="19050" anchor="ctr" anchorCtr="1">
                  <a:noAutofit/>
                </a:bodyPr>
                <a:lstStyle/>
                <a:p>
                  <a:pPr>
                    <a:defRPr lang="zh-CN" sz="1100" b="1" i="0" u="none" strike="noStrike" kern="1200" spc="0" baseline="0">
                      <a:ln>
                        <a:noFill/>
                      </a:ln>
                      <a:solidFill>
                        <a:srgbClr val="FFC000"/>
                      </a:solidFill>
                      <a:latin typeface="+mn-lt"/>
                      <a:ea typeface="+mn-ea"/>
                      <a:cs typeface="+mn-cs"/>
                    </a:defRPr>
                  </a:pPr>
                  <a:endParaRPr lang="zh-CN"/>
                </a:p>
              </c:txPr>
              <c:dLblPos val="bestFit"/>
              <c:showCatName val="1"/>
              <c:extLst>
                <c:ext xmlns:c15="http://schemas.microsoft.com/office/drawing/2012/chart" uri="{CE6537A1-D6FC-4f65-9D91-7224C49458BB}">
                  <c15:layout>
                    <c:manualLayout>
                      <c:w val="0.293658038477765"/>
                      <c:h val="0.108081308874566"/>
                    </c:manualLayout>
                  </c15:layout>
                </c:ext>
              </c:extLst>
            </c:dLbl>
            <c:dLbl>
              <c:idx val="4"/>
              <c:layout>
                <c:manualLayout>
                  <c:x val="3.1226408754382193E-2"/>
                  <c:y val="-9.2496457278487224E-2"/>
                </c:manualLayout>
              </c:layout>
              <c:spPr>
                <a:noFill/>
                <a:ln>
                  <a:noFill/>
                </a:ln>
                <a:effectLst/>
              </c:spPr>
              <c:txPr>
                <a:bodyPr rot="0" spcFirstLastPara="1" vertOverflow="ellipsis" vert="horz" wrap="square" lIns="38100" tIns="19050" rIns="38100" bIns="19050" anchor="ctr" anchorCtr="1">
                  <a:noAutofit/>
                </a:bodyPr>
                <a:lstStyle/>
                <a:p>
                  <a:pPr>
                    <a:defRPr lang="zh-CN" sz="1100" b="1" i="0" u="none" strike="noStrike" kern="1200" spc="0" baseline="0">
                      <a:ln>
                        <a:noFill/>
                      </a:ln>
                      <a:solidFill>
                        <a:srgbClr val="7030A0"/>
                      </a:solidFill>
                      <a:latin typeface="+mn-lt"/>
                      <a:ea typeface="+mn-ea"/>
                      <a:cs typeface="+mn-cs"/>
                    </a:defRPr>
                  </a:pPr>
                  <a:endParaRPr lang="zh-CN"/>
                </a:p>
              </c:txPr>
              <c:dLblPos val="bestFit"/>
              <c:showCatName val="1"/>
              <c:extLst>
                <c:ext xmlns:c15="http://schemas.microsoft.com/office/drawing/2012/chart" uri="{CE6537A1-D6FC-4f65-9D91-7224C49458BB}">
                  <c15:layout>
                    <c:manualLayout>
                      <c:w val="0.33870308352281"/>
                      <c:h val="0.113039167079822"/>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1100" b="1" i="0" u="none" strike="noStrike" kern="1200" spc="0" baseline="0">
                    <a:ln>
                      <a:noFill/>
                    </a:ln>
                    <a:solidFill>
                      <a:schemeClr val="accent1"/>
                    </a:solidFill>
                    <a:latin typeface="+mn-lt"/>
                    <a:ea typeface="+mn-ea"/>
                    <a:cs typeface="+mn-cs"/>
                  </a:defRPr>
                </a:pPr>
                <a:endParaRPr lang="zh-CN"/>
              </a:p>
            </c:txPr>
            <c:dLblPos val="outEnd"/>
            <c:showCatName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培训费0.5万元占3.48%</c:v>
                </c:pt>
                <c:pt idx="1">
                  <c:v>办公费10万元占69.44%</c:v>
                </c:pt>
                <c:pt idx="2">
                  <c:v>公务用车购置及运行费2.2万元占15.28%</c:v>
                </c:pt>
                <c:pt idx="3">
                  <c:v>会议费0.3万元占2.08%</c:v>
                </c:pt>
                <c:pt idx="4">
                  <c:v>公务接待费1.4万元占9.72%</c:v>
                </c:pt>
              </c:strCache>
            </c:strRef>
          </c:cat>
          <c:val>
            <c:numRef>
              <c:f>Sheet1!$B$2:$B$6</c:f>
              <c:numCache>
                <c:formatCode>General</c:formatCode>
                <c:ptCount val="5"/>
                <c:pt idx="0">
                  <c:v>0.5</c:v>
                </c:pt>
                <c:pt idx="1">
                  <c:v>10</c:v>
                </c:pt>
                <c:pt idx="2">
                  <c:v>2.2000000000000002</c:v>
                </c:pt>
                <c:pt idx="3">
                  <c:v>0.30000000000000021</c:v>
                </c:pt>
                <c:pt idx="4">
                  <c:v>1.4</c:v>
                </c:pt>
              </c:numCache>
            </c:numRef>
          </c:val>
        </c:ser>
        <c:dLbls>
          <c:showCatName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刘茜</cp:lastModifiedBy>
  <cp:revision>17</cp:revision>
  <dcterms:created xsi:type="dcterms:W3CDTF">2018-03-15T02:48:00Z</dcterms:created>
  <dcterms:modified xsi:type="dcterms:W3CDTF">2024-12-31T11:00:00Z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