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3A7B8">
      <w:pPr>
        <w:pStyle w:val="22"/>
        <w:ind w:firstLine="0" w:firstLineChars="0"/>
        <w:rPr>
          <w:b/>
          <w:shd w:val="clear" w:color="auto" w:fill="auto"/>
        </w:rPr>
      </w:pPr>
    </w:p>
    <w:p w14:paraId="4EA5E52E">
      <w:pPr>
        <w:pStyle w:val="22"/>
        <w:ind w:firstLine="0" w:firstLineChars="0"/>
        <w:rPr>
          <w:b/>
          <w:shd w:val="clear" w:color="auto" w:fill="auto"/>
        </w:rPr>
      </w:pPr>
    </w:p>
    <w:p w14:paraId="76E78DF7">
      <w:pPr>
        <w:pStyle w:val="22"/>
        <w:spacing w:line="360" w:lineRule="auto"/>
        <w:ind w:firstLine="0" w:firstLineChars="0"/>
        <w:jc w:val="center"/>
        <w:rPr>
          <w:rFonts w:ascii="方正小标宋简体" w:eastAsia="方正小标宋简体"/>
          <w:sz w:val="52"/>
          <w:szCs w:val="52"/>
          <w:shd w:val="clear" w:color="auto" w:fill="auto"/>
        </w:rPr>
      </w:pPr>
      <w:r>
        <w:rPr>
          <w:rFonts w:hint="eastAsia" w:ascii="方正小标宋简体" w:eastAsia="方正小标宋简体"/>
          <w:sz w:val="52"/>
          <w:szCs w:val="52"/>
          <w:shd w:val="clear" w:color="auto" w:fill="auto"/>
        </w:rPr>
        <w:t>镇安县秦岭生态环境保护实施方案</w:t>
      </w:r>
    </w:p>
    <w:p w14:paraId="2C3E415B">
      <w:pPr>
        <w:pStyle w:val="22"/>
        <w:spacing w:line="360" w:lineRule="auto"/>
        <w:ind w:firstLine="0" w:firstLineChars="0"/>
        <w:jc w:val="center"/>
        <w:rPr>
          <w:rFonts w:ascii="方正小标宋简体" w:eastAsia="方正小标宋简体"/>
          <w:sz w:val="44"/>
          <w:szCs w:val="44"/>
          <w:shd w:val="clear" w:color="auto" w:fill="auto"/>
        </w:rPr>
      </w:pPr>
      <w:r>
        <w:rPr>
          <w:rFonts w:hint="eastAsia" w:ascii="方正小标宋简体" w:eastAsia="方正小标宋简体"/>
          <w:sz w:val="44"/>
          <w:szCs w:val="44"/>
          <w:shd w:val="clear" w:color="auto" w:fill="auto"/>
        </w:rPr>
        <w:t>（审议稿）</w:t>
      </w:r>
    </w:p>
    <w:p w14:paraId="6B5E0703">
      <w:pPr>
        <w:pStyle w:val="22"/>
        <w:ind w:firstLine="0" w:firstLineChars="0"/>
        <w:jc w:val="center"/>
        <w:rPr>
          <w:shd w:val="clear" w:color="auto" w:fill="auto"/>
        </w:rPr>
      </w:pPr>
    </w:p>
    <w:p w14:paraId="113FFED2">
      <w:pPr>
        <w:pStyle w:val="38"/>
        <w:rPr>
          <w:shd w:val="clear" w:color="auto" w:fill="auto"/>
        </w:rPr>
      </w:pPr>
      <w:r>
        <w:rPr>
          <w:shd w:val="clear" w:color="auto" w:fill="auto"/>
        </w:rPr>
        <w:drawing>
          <wp:inline distT="0" distB="0" distL="0" distR="0">
            <wp:extent cx="5497830" cy="364553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08507" cy="3652703"/>
                    </a:xfrm>
                    <a:prstGeom prst="rect">
                      <a:avLst/>
                    </a:prstGeom>
                    <a:noFill/>
                  </pic:spPr>
                </pic:pic>
              </a:graphicData>
            </a:graphic>
          </wp:inline>
        </w:drawing>
      </w:r>
    </w:p>
    <w:p w14:paraId="5F1F7429">
      <w:pPr>
        <w:pStyle w:val="22"/>
        <w:ind w:firstLine="0" w:firstLineChars="0"/>
        <w:jc w:val="center"/>
        <w:rPr>
          <w:shd w:val="clear" w:color="auto" w:fill="auto"/>
        </w:rPr>
      </w:pPr>
    </w:p>
    <w:p w14:paraId="54B839BC">
      <w:pPr>
        <w:pStyle w:val="22"/>
        <w:ind w:firstLine="0" w:firstLineChars="0"/>
        <w:jc w:val="center"/>
        <w:rPr>
          <w:shd w:val="clear" w:color="auto" w:fill="auto"/>
        </w:rPr>
      </w:pPr>
    </w:p>
    <w:p w14:paraId="3A8BD044">
      <w:pPr>
        <w:pStyle w:val="22"/>
        <w:ind w:firstLine="0" w:firstLineChars="0"/>
        <w:jc w:val="center"/>
        <w:rPr>
          <w:shd w:val="clear" w:color="auto" w:fill="auto"/>
        </w:rPr>
      </w:pPr>
    </w:p>
    <w:p w14:paraId="20C19AEB">
      <w:pPr>
        <w:pStyle w:val="22"/>
        <w:ind w:firstLine="0" w:firstLineChars="0"/>
        <w:jc w:val="center"/>
        <w:rPr>
          <w:rFonts w:ascii="方正小标宋简体" w:eastAsia="方正小标宋简体"/>
          <w:shd w:val="clear" w:color="auto" w:fill="auto"/>
        </w:rPr>
      </w:pPr>
      <w:r>
        <w:rPr>
          <w:rFonts w:hint="eastAsia" w:ascii="方正小标宋简体" w:eastAsia="方正小标宋简体"/>
          <w:shd w:val="clear" w:color="auto" w:fill="auto"/>
        </w:rPr>
        <w:t>镇安县发展改革局</w:t>
      </w:r>
    </w:p>
    <w:p w14:paraId="3E60F786">
      <w:pPr>
        <w:pStyle w:val="22"/>
        <w:ind w:firstLine="0" w:firstLineChars="0"/>
        <w:jc w:val="center"/>
        <w:rPr>
          <w:rFonts w:ascii="方正小标宋简体" w:eastAsia="方正小标宋简体"/>
          <w:shd w:val="clear" w:color="auto" w:fill="auto"/>
        </w:rPr>
      </w:pPr>
      <w:r>
        <w:rPr>
          <w:rFonts w:hint="eastAsia" w:ascii="方正小标宋简体" w:eastAsia="方正小标宋简体"/>
          <w:shd w:val="clear" w:color="auto" w:fill="auto"/>
        </w:rPr>
        <w:t>2020年</w:t>
      </w:r>
      <w:r>
        <w:rPr>
          <w:rFonts w:ascii="方正小标宋简体" w:eastAsia="方正小标宋简体"/>
          <w:shd w:val="clear" w:color="auto" w:fill="auto"/>
        </w:rPr>
        <w:t>12</w:t>
      </w:r>
      <w:r>
        <w:rPr>
          <w:rFonts w:hint="eastAsia" w:ascii="方正小标宋简体" w:eastAsia="方正小标宋简体"/>
          <w:shd w:val="clear" w:color="auto" w:fill="auto"/>
        </w:rPr>
        <w:t>月</w:t>
      </w:r>
    </w:p>
    <w:p w14:paraId="27350235">
      <w:pPr>
        <w:pStyle w:val="22"/>
        <w:ind w:firstLine="0" w:firstLineChars="0"/>
        <w:jc w:val="center"/>
        <w:rPr>
          <w:rFonts w:ascii="方正小标宋简体" w:eastAsia="方正小标宋简体"/>
          <w:shd w:val="clear" w:color="auto" w:fill="auto"/>
        </w:rPr>
        <w:sectPr>
          <w:headerReference r:id="rId4" w:type="default"/>
          <w:pgSz w:w="11906" w:h="16838"/>
          <w:pgMar w:top="1531" w:right="1531" w:bottom="1418" w:left="1531" w:header="851" w:footer="992" w:gutter="0"/>
          <w:cols w:space="425" w:num="1"/>
          <w:docGrid w:type="lines" w:linePitch="312" w:charSpace="0"/>
        </w:sectPr>
      </w:pPr>
    </w:p>
    <w:p w14:paraId="29049477">
      <w:pPr>
        <w:pStyle w:val="22"/>
        <w:ind w:firstLine="0" w:firstLineChars="0"/>
        <w:jc w:val="center"/>
        <w:rPr>
          <w:rFonts w:ascii="方正小标宋简体" w:eastAsia="方正小标宋简体"/>
          <w:shd w:val="clear" w:color="auto" w:fill="auto"/>
        </w:rPr>
      </w:pPr>
    </w:p>
    <w:p w14:paraId="2FC06955">
      <w:pPr>
        <w:pStyle w:val="22"/>
        <w:ind w:firstLine="0" w:firstLineChars="0"/>
        <w:jc w:val="center"/>
        <w:rPr>
          <w:rFonts w:ascii="方正小标宋简体" w:eastAsia="方正小标宋简体"/>
          <w:shd w:val="clear" w:color="auto" w:fill="auto"/>
        </w:rPr>
        <w:sectPr>
          <w:pgSz w:w="11906" w:h="16838"/>
          <w:pgMar w:top="1531" w:right="1531" w:bottom="1418" w:left="1531" w:header="851" w:footer="992" w:gutter="0"/>
          <w:cols w:space="425" w:num="1"/>
          <w:docGrid w:type="lines" w:linePitch="312" w:charSpace="0"/>
        </w:sectPr>
      </w:pPr>
    </w:p>
    <w:p w14:paraId="03959C07">
      <w:pPr>
        <w:pStyle w:val="22"/>
        <w:ind w:firstLine="0" w:firstLineChars="0"/>
        <w:jc w:val="center"/>
        <w:rPr>
          <w:rFonts w:ascii="方正小标宋简体" w:eastAsia="方正小标宋简体"/>
          <w:shd w:val="clear" w:color="auto" w:fill="auto"/>
        </w:rPr>
      </w:pPr>
      <w:r>
        <w:rPr>
          <w:rFonts w:hint="eastAsia" w:ascii="方正小标宋简体" w:eastAsia="方正小标宋简体"/>
          <w:shd w:val="clear" w:color="auto" w:fill="auto"/>
        </w:rPr>
        <w:t xml:space="preserve">前 </w:t>
      </w:r>
      <w:r>
        <w:rPr>
          <w:rFonts w:ascii="方正小标宋简体" w:eastAsia="方正小标宋简体"/>
          <w:shd w:val="clear" w:color="auto" w:fill="auto"/>
        </w:rPr>
        <w:t xml:space="preserve"> </w:t>
      </w:r>
      <w:r>
        <w:rPr>
          <w:rFonts w:hint="eastAsia" w:ascii="方正小标宋简体" w:eastAsia="方正小标宋简体"/>
          <w:shd w:val="clear" w:color="auto" w:fill="auto"/>
        </w:rPr>
        <w:t>言</w:t>
      </w:r>
    </w:p>
    <w:p w14:paraId="1D8F6A39">
      <w:pPr>
        <w:pStyle w:val="22"/>
        <w:ind w:firstLine="640"/>
        <w:rPr>
          <w:shd w:val="clear" w:color="auto" w:fill="auto"/>
        </w:rPr>
      </w:pPr>
      <w:r>
        <w:rPr>
          <w:shd w:val="clear" w:color="auto" w:fill="auto"/>
        </w:rPr>
        <w:t>秦岭和合南北</w:t>
      </w:r>
      <w:r>
        <w:rPr>
          <w:rFonts w:hint="eastAsia"/>
          <w:shd w:val="clear" w:color="auto" w:fill="auto"/>
        </w:rPr>
        <w:t>、</w:t>
      </w:r>
      <w:r>
        <w:rPr>
          <w:shd w:val="clear" w:color="auto" w:fill="auto"/>
        </w:rPr>
        <w:t>泽被天下</w:t>
      </w:r>
      <w:r>
        <w:rPr>
          <w:rFonts w:hint="eastAsia"/>
          <w:shd w:val="clear" w:color="auto" w:fill="auto"/>
        </w:rPr>
        <w:t>，</w:t>
      </w:r>
      <w:r>
        <w:rPr>
          <w:shd w:val="clear" w:color="auto" w:fill="auto"/>
        </w:rPr>
        <w:t>是我国的中央水塔</w:t>
      </w:r>
      <w:r>
        <w:rPr>
          <w:rFonts w:hint="eastAsia"/>
          <w:shd w:val="clear" w:color="auto" w:fill="auto"/>
        </w:rPr>
        <w:t>，</w:t>
      </w:r>
      <w:r>
        <w:rPr>
          <w:shd w:val="clear" w:color="auto" w:fill="auto"/>
        </w:rPr>
        <w:t>是中华民族的祖脉和中华文化的重要象征</w:t>
      </w:r>
      <w:r>
        <w:rPr>
          <w:rFonts w:hint="eastAsia"/>
          <w:shd w:val="clear" w:color="auto" w:fill="auto"/>
        </w:rPr>
        <w:t>。保护好秦岭生态环境，对确保中华民族长盛不衰、实现“两个一百年”奋斗目标、实现可持续发展具有十分重大而深远的意义。党的十八大以来，习近平总书记高度重视秦岭生态环境保护，多次作出</w:t>
      </w:r>
      <w:r>
        <w:rPr>
          <w:rFonts w:hint="eastAsia"/>
          <w:color w:val="auto"/>
          <w:shd w:val="clear" w:color="auto" w:fill="auto"/>
        </w:rPr>
        <w:t>重要指示批示。</w:t>
      </w:r>
      <w:r>
        <w:rPr>
          <w:rFonts w:hint="eastAsia"/>
          <w:shd w:val="clear" w:color="auto" w:fill="auto"/>
        </w:rPr>
        <w:t>2020年4月，习近平总书记来陕考察时强调“秦岭的自然生态美景，谁都不能破坏”“从今往后，在陕西当干部，首先要了解这个教训，切勿重蹈覆辙，切实做守护秦岭生态的卫士</w:t>
      </w:r>
      <w:r>
        <w:rPr>
          <w:rFonts w:hint="eastAsia"/>
          <w:shd w:val="clear" w:color="auto" w:fill="auto"/>
          <w:lang w:eastAsia="zh-CN"/>
        </w:rPr>
        <w:t>”“</w:t>
      </w:r>
      <w:r>
        <w:rPr>
          <w:rFonts w:hint="eastAsia"/>
          <w:shd w:val="clear" w:color="auto" w:fill="auto"/>
        </w:rPr>
        <w:t>保护祖脉秦岭，人人有责，人人都是生态卫士，人不负青山，青山定不负人”。习近平总书记的重要讲话和重要指示批示，为秦岭生态环境保护工作指明了方向，提供了根本遵循。</w:t>
      </w:r>
    </w:p>
    <w:p w14:paraId="21EAD098">
      <w:pPr>
        <w:pStyle w:val="22"/>
        <w:ind w:firstLine="640"/>
        <w:rPr>
          <w:shd w:val="clear" w:color="auto" w:fill="auto"/>
        </w:rPr>
      </w:pPr>
      <w:r>
        <w:rPr>
          <w:rFonts w:hint="eastAsia"/>
          <w:shd w:val="clear" w:color="auto" w:fill="auto"/>
        </w:rPr>
        <w:t>镇安县是我国秦巴生物多样性功能区，是南水北调中线工程重要水源涵养区，近年来，全县以秦岭地区违规建筑和生态环境突出问题专项整治为抓手，坚决打好“青山、碧水、蓝天、净土”四大保卫战，生态环境质量持续向好，先后荣获全国绿化模范县、省级生态园林县城、省级生态县等荣誉称号。为深入贯彻习近平总书记重要讲话和重要指示批示，全面落实党中央、国务院决策部署，认真落实省委《关于全面加强秦岭生态环境保护工作的决定》，根据省十三届人大常委会第十三次会议修订通过的《陕西省秦岭生态环境保护条例》（以下简称《条例》）、《陕西省秦岭生态环境保护总体规划》（陕政办发〔2020〕13号）、《商洛市秦岭生态环境保护规划》（商政办发〔2020〕27号），修编《镇安县秦岭生态环境保护实施方案》（以下简称《实施方案》）。</w:t>
      </w:r>
    </w:p>
    <w:p w14:paraId="30EA4DF1">
      <w:pPr>
        <w:pStyle w:val="22"/>
        <w:ind w:firstLine="640"/>
        <w:rPr>
          <w:shd w:val="clear" w:color="auto" w:fill="auto"/>
        </w:rPr>
      </w:pPr>
      <w:r>
        <w:rPr>
          <w:rFonts w:hint="eastAsia"/>
          <w:shd w:val="clear" w:color="auto" w:fill="auto"/>
        </w:rPr>
        <w:t>方案保护范围为镇安县全境，包含永乐街道办、回龙镇、铁厂镇、大坪镇、米粮镇、茅坪回族镇、西口回族镇、高峰镇、青铜关镇、柴坪镇、达仁镇、木王镇、月河镇、庙沟镇、云盖寺镇等1</w:t>
      </w:r>
      <w:r>
        <w:rPr>
          <w:shd w:val="clear" w:color="auto" w:fill="auto"/>
        </w:rPr>
        <w:t>5个镇（办）</w:t>
      </w:r>
      <w:r>
        <w:rPr>
          <w:rFonts w:hint="eastAsia"/>
          <w:shd w:val="clear" w:color="auto" w:fill="auto"/>
        </w:rPr>
        <w:t>，1</w:t>
      </w:r>
      <w:r>
        <w:rPr>
          <w:shd w:val="clear" w:color="auto" w:fill="auto"/>
        </w:rPr>
        <w:t>47</w:t>
      </w:r>
      <w:r>
        <w:rPr>
          <w:rFonts w:hint="eastAsia"/>
          <w:shd w:val="clear" w:color="auto" w:fill="auto"/>
        </w:rPr>
        <w:t>个行政村，</w:t>
      </w:r>
      <w:r>
        <w:rPr>
          <w:shd w:val="clear" w:color="auto" w:fill="auto"/>
        </w:rPr>
        <w:t>7</w:t>
      </w:r>
      <w:r>
        <w:rPr>
          <w:rFonts w:hint="eastAsia"/>
          <w:shd w:val="clear" w:color="auto" w:fill="auto"/>
        </w:rPr>
        <w:t>个社区，总面积3</w:t>
      </w:r>
      <w:r>
        <w:rPr>
          <w:shd w:val="clear" w:color="auto" w:fill="auto"/>
        </w:rPr>
        <w:t>487平方公里</w:t>
      </w:r>
      <w:r>
        <w:rPr>
          <w:rFonts w:hint="eastAsia"/>
          <w:shd w:val="clear" w:color="auto" w:fill="auto"/>
        </w:rPr>
        <w:t>。《实施方案》主要从植被保护、水资源保护、生物多样性保护、生态环境修复治理、绿色发展等重点领域入手，布置秦岭生态环境保护与修复相关重点任务，着力打造节约资源和保护生态环境的空间格局、产业结构、生产方式、生活方式，推动镇安县秦岭生态环境高水平保护，经济社会高质量发展。</w:t>
      </w:r>
    </w:p>
    <w:p w14:paraId="4851206C">
      <w:pPr>
        <w:pStyle w:val="22"/>
        <w:ind w:firstLine="640"/>
        <w:rPr>
          <w:shd w:val="clear" w:color="auto" w:fill="auto"/>
        </w:rPr>
      </w:pPr>
      <w:r>
        <w:rPr>
          <w:rFonts w:hint="eastAsia"/>
          <w:shd w:val="clear" w:color="auto" w:fill="auto"/>
        </w:rPr>
        <w:t>《实施方案》之后若确需修订或者对分区保护范围作出调整的，要严格按照有关规定程序进行。《方案》规划期至2</w:t>
      </w:r>
      <w:r>
        <w:rPr>
          <w:shd w:val="clear" w:color="auto" w:fill="auto"/>
        </w:rPr>
        <w:t>025年</w:t>
      </w:r>
      <w:r>
        <w:rPr>
          <w:rFonts w:hint="eastAsia"/>
          <w:shd w:val="clear" w:color="auto" w:fill="auto"/>
        </w:rPr>
        <w:t>，</w:t>
      </w:r>
      <w:r>
        <w:rPr>
          <w:shd w:val="clear" w:color="auto" w:fill="auto"/>
        </w:rPr>
        <w:t>展望至</w:t>
      </w:r>
      <w:r>
        <w:rPr>
          <w:rFonts w:hint="eastAsia"/>
          <w:shd w:val="clear" w:color="auto" w:fill="auto"/>
        </w:rPr>
        <w:t>2</w:t>
      </w:r>
      <w:r>
        <w:rPr>
          <w:shd w:val="clear" w:color="auto" w:fill="auto"/>
        </w:rPr>
        <w:t>035年</w:t>
      </w:r>
      <w:r>
        <w:rPr>
          <w:rFonts w:hint="eastAsia"/>
          <w:shd w:val="clear" w:color="auto" w:fill="auto"/>
        </w:rPr>
        <w:t>。</w:t>
      </w:r>
    </w:p>
    <w:p w14:paraId="6B55BAD4">
      <w:pPr>
        <w:pStyle w:val="22"/>
        <w:ind w:firstLine="0" w:firstLineChars="0"/>
        <w:rPr>
          <w:rFonts w:ascii="方正小标宋简体" w:eastAsia="方正小标宋简体"/>
          <w:shd w:val="clear" w:color="auto" w:fill="auto"/>
        </w:rPr>
      </w:pPr>
    </w:p>
    <w:p w14:paraId="52ED50EC">
      <w:pPr>
        <w:pStyle w:val="22"/>
        <w:ind w:firstLine="0" w:firstLineChars="0"/>
        <w:jc w:val="center"/>
        <w:rPr>
          <w:rFonts w:ascii="方正小标宋简体" w:eastAsia="方正小标宋简体"/>
          <w:shd w:val="clear" w:color="auto" w:fill="auto"/>
        </w:rPr>
        <w:sectPr>
          <w:headerReference r:id="rId5" w:type="default"/>
          <w:pgSz w:w="11906" w:h="16838"/>
          <w:pgMar w:top="1531" w:right="1531" w:bottom="1418" w:left="1531" w:header="851" w:footer="992" w:gutter="0"/>
          <w:cols w:space="425" w:num="1"/>
          <w:docGrid w:type="lines" w:linePitch="312" w:charSpace="0"/>
        </w:sectPr>
      </w:pPr>
    </w:p>
    <w:sdt>
      <w:sdtPr>
        <w:rPr>
          <w:rFonts w:asciiTheme="minorHAnsi" w:hAnsiTheme="minorHAnsi" w:eastAsiaTheme="minorEastAsia"/>
          <w:bCs w:val="0"/>
          <w:sz w:val="21"/>
          <w:szCs w:val="22"/>
          <w:shd w:val="clear" w:color="auto" w:fill="auto"/>
          <w:lang w:val="zh-CN"/>
        </w:rPr>
        <w:id w:val="-1054775155"/>
        <w:docPartObj>
          <w:docPartGallery w:val="Table of Contents"/>
          <w:docPartUnique/>
        </w:docPartObj>
      </w:sdtPr>
      <w:sdtEndPr>
        <w:rPr>
          <w:rFonts w:asciiTheme="minorHAnsi" w:hAnsiTheme="minorHAnsi" w:eastAsiaTheme="minorEastAsia"/>
          <w:b/>
          <w:bCs w:val="0"/>
          <w:sz w:val="21"/>
          <w:szCs w:val="22"/>
          <w:shd w:val="clear" w:color="auto" w:fill="auto"/>
          <w:lang w:val="zh-CN"/>
        </w:rPr>
      </w:sdtEndPr>
      <w:sdtContent>
        <w:p w14:paraId="75465BF3">
          <w:pPr>
            <w:pStyle w:val="22"/>
            <w:tabs>
              <w:tab w:val="left" w:pos="3100"/>
              <w:tab w:val="center" w:pos="4422"/>
            </w:tabs>
            <w:ind w:firstLine="0" w:firstLineChars="0"/>
            <w:jc w:val="center"/>
            <w:rPr>
              <w:rFonts w:ascii="方正小标宋简体" w:hAnsi="黑体" w:eastAsia="方正小标宋简体"/>
              <w:shd w:val="clear" w:color="auto" w:fill="auto"/>
            </w:rPr>
          </w:pPr>
          <w:r>
            <w:rPr>
              <w:rFonts w:hint="eastAsia" w:ascii="方正小标宋简体" w:hAnsi="黑体" w:eastAsia="方正小标宋简体"/>
              <w:shd w:val="clear" w:color="auto" w:fill="auto"/>
              <w:lang w:val="zh-CN"/>
            </w:rPr>
            <w:t>目  录</w:t>
          </w:r>
        </w:p>
        <w:p w14:paraId="7BB849C2">
          <w:pPr>
            <w:pStyle w:val="9"/>
            <w:spacing w:line="520" w:lineRule="exact"/>
            <w:rPr>
              <w:b w:val="0"/>
            </w:rPr>
          </w:pPr>
          <w:r>
            <w:rPr>
              <w:bCs/>
              <w:lang w:val="zh-CN"/>
            </w:rPr>
            <w:fldChar w:fldCharType="begin"/>
          </w:r>
          <w:r>
            <w:rPr>
              <w:bCs/>
              <w:lang w:val="zh-CN"/>
            </w:rPr>
            <w:instrText xml:space="preserve"> TOC \o "1-2" \h \z \u </w:instrText>
          </w:r>
          <w:r>
            <w:rPr>
              <w:bCs/>
              <w:lang w:val="zh-CN"/>
            </w:rPr>
            <w:fldChar w:fldCharType="separate"/>
          </w:r>
          <w:r>
            <w:fldChar w:fldCharType="begin"/>
          </w:r>
          <w:r>
            <w:instrText xml:space="preserve"> HYPERLINK \l "_Toc59298918" </w:instrText>
          </w:r>
          <w:r>
            <w:fldChar w:fldCharType="separate"/>
          </w:r>
          <w:r>
            <w:rPr>
              <w:rStyle w:val="18"/>
            </w:rPr>
            <w:t>第一章  区域概况</w:t>
          </w:r>
          <w:r>
            <w:tab/>
          </w:r>
          <w:r>
            <w:fldChar w:fldCharType="begin"/>
          </w:r>
          <w:r>
            <w:instrText xml:space="preserve"> PAGEREF _Toc59298918 \h </w:instrText>
          </w:r>
          <w:r>
            <w:fldChar w:fldCharType="separate"/>
          </w:r>
          <w:r>
            <w:t>- 1 -</w:t>
          </w:r>
          <w:r>
            <w:fldChar w:fldCharType="end"/>
          </w:r>
          <w:r>
            <w:fldChar w:fldCharType="end"/>
          </w:r>
        </w:p>
        <w:p w14:paraId="67F29F3F">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"_Toc59298919" </w:instrText>
          </w:r>
          <w:r>
            <w:fldChar w:fldCharType="separate"/>
          </w:r>
          <w:r>
            <w:rPr>
              <w:rStyle w:val="18"/>
              <w:rFonts w:ascii="Times New Roman" w:hAnsi="Times New Roman" w:eastAsia="仿宋_GB2312" w:cs="Times New Roman"/>
              <w:sz w:val="28"/>
              <w:szCs w:val="28"/>
            </w:rPr>
            <w:t>一、保护面积</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_Toc59298919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- 1 -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1D412D2">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"_Toc59298920" </w:instrText>
          </w:r>
          <w:r>
            <w:fldChar w:fldCharType="separate"/>
          </w:r>
          <w:r>
            <w:rPr>
              <w:rStyle w:val="18"/>
              <w:rFonts w:ascii="Times New Roman" w:hAnsi="Times New Roman" w:eastAsia="仿宋_GB2312" w:cs="Times New Roman"/>
              <w:sz w:val="28"/>
              <w:szCs w:val="28"/>
            </w:rPr>
            <w:t>二、基本特征</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_Toc59298920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- 3 -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FE2E173">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"_Toc59298921" </w:instrText>
          </w:r>
          <w:r>
            <w:fldChar w:fldCharType="separate"/>
          </w:r>
          <w:r>
            <w:rPr>
              <w:rStyle w:val="18"/>
              <w:rFonts w:ascii="Times New Roman" w:hAnsi="Times New Roman" w:eastAsia="仿宋_GB2312" w:cs="Times New Roman"/>
              <w:sz w:val="28"/>
              <w:szCs w:val="28"/>
            </w:rPr>
            <w:t>三、工作成效</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_Toc59298921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- 4 -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DEFC67A">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"_Toc59298922" </w:instrText>
          </w:r>
          <w:r>
            <w:fldChar w:fldCharType="separate"/>
          </w:r>
          <w:r>
            <w:rPr>
              <w:rStyle w:val="18"/>
              <w:rFonts w:ascii="Times New Roman" w:hAnsi="Times New Roman" w:eastAsia="仿宋_GB2312" w:cs="Times New Roman"/>
              <w:sz w:val="28"/>
              <w:szCs w:val="28"/>
            </w:rPr>
            <w:t>四、问题与机遇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_Toc59298922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- 6 -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29E1E05">
          <w:pPr>
            <w:pStyle w:val="9"/>
            <w:spacing w:line="520" w:lineRule="exact"/>
            <w:rPr>
              <w:b w:val="0"/>
            </w:rPr>
          </w:pPr>
          <w:r>
            <w:fldChar w:fldCharType="begin"/>
          </w:r>
          <w:r>
            <w:instrText xml:space="preserve"> HYPERLINK \l "_Toc59298923" </w:instrText>
          </w:r>
          <w:r>
            <w:fldChar w:fldCharType="separate"/>
          </w:r>
          <w:r>
            <w:rPr>
              <w:rStyle w:val="18"/>
            </w:rPr>
            <w:t>第二章  总体要求</w:t>
          </w:r>
          <w:r>
            <w:tab/>
          </w:r>
          <w:r>
            <w:fldChar w:fldCharType="begin"/>
          </w:r>
          <w:r>
            <w:instrText xml:space="preserve"> PAGEREF _Toc59298923 \h </w:instrText>
          </w:r>
          <w:r>
            <w:fldChar w:fldCharType="separate"/>
          </w:r>
          <w:r>
            <w:t>- 10 -</w:t>
          </w:r>
          <w:r>
            <w:fldChar w:fldCharType="end"/>
          </w:r>
          <w:r>
            <w:fldChar w:fldCharType="end"/>
          </w:r>
        </w:p>
        <w:p w14:paraId="16F28EA5">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"_Toc59298924" </w:instrText>
          </w:r>
          <w:r>
            <w:fldChar w:fldCharType="separate"/>
          </w:r>
          <w:r>
            <w:rPr>
              <w:rStyle w:val="18"/>
              <w:rFonts w:ascii="Times New Roman" w:hAnsi="Times New Roman" w:eastAsia="仿宋_GB2312" w:cs="Times New Roman"/>
              <w:sz w:val="28"/>
              <w:szCs w:val="28"/>
            </w:rPr>
            <w:t>一、指导思想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_Toc59298924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- 10 -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25707D6">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"_Toc59298925" </w:instrText>
          </w:r>
          <w:r>
            <w:fldChar w:fldCharType="separate"/>
          </w:r>
          <w:r>
            <w:rPr>
              <w:rStyle w:val="18"/>
              <w:rFonts w:ascii="Times New Roman" w:hAnsi="Times New Roman" w:eastAsia="仿宋_GB2312" w:cs="Times New Roman"/>
              <w:sz w:val="28"/>
              <w:szCs w:val="28"/>
            </w:rPr>
            <w:t>二、基本原则</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_Toc59298925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- 10 -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FD489EA">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"_Toc59298926" </w:instrText>
          </w:r>
          <w:r>
            <w:fldChar w:fldCharType="separate"/>
          </w:r>
          <w:r>
            <w:rPr>
              <w:rStyle w:val="18"/>
              <w:rFonts w:ascii="Times New Roman" w:hAnsi="Times New Roman" w:eastAsia="仿宋_GB2312" w:cs="Times New Roman"/>
              <w:sz w:val="28"/>
              <w:szCs w:val="28"/>
            </w:rPr>
            <w:t>三、编制依据</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_Toc59298926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- 12 -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7BBA282">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"_Toc59298927" </w:instrText>
          </w:r>
          <w:r>
            <w:fldChar w:fldCharType="separate"/>
          </w:r>
          <w:r>
            <w:rPr>
              <w:rStyle w:val="18"/>
              <w:rFonts w:ascii="Times New Roman" w:hAnsi="Times New Roman" w:eastAsia="仿宋_GB2312" w:cs="Times New Roman"/>
              <w:sz w:val="28"/>
              <w:szCs w:val="28"/>
            </w:rPr>
            <w:t>四、实施目标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_Toc59298927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- 12 -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4564087">
          <w:pPr>
            <w:pStyle w:val="9"/>
            <w:spacing w:line="520" w:lineRule="exact"/>
            <w:rPr>
              <w:b w:val="0"/>
            </w:rPr>
          </w:pPr>
          <w:r>
            <w:fldChar w:fldCharType="begin"/>
          </w:r>
          <w:r>
            <w:instrText xml:space="preserve"> HYPERLINK \l "_Toc59298928" </w:instrText>
          </w:r>
          <w:r>
            <w:fldChar w:fldCharType="separate"/>
          </w:r>
          <w:r>
            <w:rPr>
              <w:rStyle w:val="18"/>
            </w:rPr>
            <w:t>第三章  保护单元</w:t>
          </w:r>
          <w:r>
            <w:tab/>
          </w:r>
          <w:r>
            <w:fldChar w:fldCharType="begin"/>
          </w:r>
          <w:r>
            <w:instrText xml:space="preserve"> PAGEREF _Toc59298928 \h </w:instrText>
          </w:r>
          <w:r>
            <w:fldChar w:fldCharType="separate"/>
          </w:r>
          <w:r>
            <w:t>- 16 -</w:t>
          </w:r>
          <w:r>
            <w:fldChar w:fldCharType="end"/>
          </w:r>
          <w:r>
            <w:fldChar w:fldCharType="end"/>
          </w:r>
        </w:p>
        <w:p w14:paraId="1BF632B8">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"_Toc59298929" </w:instrText>
          </w:r>
          <w:r>
            <w:fldChar w:fldCharType="separate"/>
          </w:r>
          <w:r>
            <w:rPr>
              <w:rStyle w:val="18"/>
              <w:rFonts w:ascii="Times New Roman" w:hAnsi="Times New Roman" w:eastAsia="仿宋_GB2312" w:cs="Times New Roman"/>
              <w:sz w:val="28"/>
              <w:szCs w:val="28"/>
            </w:rPr>
            <w:t>一、重点保护单元名录</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_Toc59298929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- 16 -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F046EBF">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"_Toc59298930" </w:instrText>
          </w:r>
          <w:r>
            <w:fldChar w:fldCharType="separate"/>
          </w:r>
          <w:r>
            <w:rPr>
              <w:rStyle w:val="18"/>
              <w:rFonts w:ascii="Times New Roman" w:hAnsi="Times New Roman" w:eastAsia="仿宋_GB2312" w:cs="Times New Roman"/>
              <w:sz w:val="28"/>
              <w:szCs w:val="28"/>
            </w:rPr>
            <w:t>二、重点保护单元概况</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_Toc59298930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- 20 -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8196E2C">
          <w:pPr>
            <w:pStyle w:val="9"/>
            <w:spacing w:line="520" w:lineRule="exact"/>
            <w:rPr>
              <w:b w:val="0"/>
            </w:rPr>
          </w:pPr>
          <w:r>
            <w:fldChar w:fldCharType="begin"/>
          </w:r>
          <w:r>
            <w:instrText xml:space="preserve"> HYPERLINK \l "_Toc59298931" </w:instrText>
          </w:r>
          <w:r>
            <w:fldChar w:fldCharType="separate"/>
          </w:r>
          <w:r>
            <w:rPr>
              <w:rStyle w:val="18"/>
            </w:rPr>
            <w:t>第四章  完成保护分区划定，加强空间用途管控</w:t>
          </w:r>
          <w:r>
            <w:tab/>
          </w:r>
          <w:r>
            <w:fldChar w:fldCharType="begin"/>
          </w:r>
          <w:r>
            <w:instrText xml:space="preserve"> PAGEREF _Toc59298931 \h </w:instrText>
          </w:r>
          <w:r>
            <w:fldChar w:fldCharType="separate"/>
          </w:r>
          <w:r>
            <w:t>- 26 -</w:t>
          </w:r>
          <w:r>
            <w:fldChar w:fldCharType="end"/>
          </w:r>
          <w:r>
            <w:fldChar w:fldCharType="end"/>
          </w:r>
        </w:p>
        <w:p w14:paraId="02A4978F">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"_Toc59298932" </w:instrText>
          </w:r>
          <w:r>
            <w:fldChar w:fldCharType="separate"/>
          </w:r>
          <w:r>
            <w:rPr>
              <w:rStyle w:val="18"/>
              <w:rFonts w:ascii="Times New Roman" w:hAnsi="Times New Roman" w:eastAsia="仿宋_GB2312" w:cs="Times New Roman"/>
              <w:sz w:val="28"/>
              <w:szCs w:val="28"/>
            </w:rPr>
            <w:t>一、严格管控核心保护区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_Toc59298932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- 26 -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F56E8F1">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"_Toc59298933" </w:instrText>
          </w:r>
          <w:r>
            <w:fldChar w:fldCharType="separate"/>
          </w:r>
          <w:r>
            <w:rPr>
              <w:rStyle w:val="18"/>
              <w:rFonts w:ascii="Times New Roman" w:hAnsi="Times New Roman" w:eastAsia="仿宋_GB2312" w:cs="Times New Roman"/>
              <w:sz w:val="28"/>
              <w:szCs w:val="28"/>
            </w:rPr>
            <w:t>二、统筹管理重点保护区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_Toc59298933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- 27 -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43354E6">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"_Toc59298934" </w:instrText>
          </w:r>
          <w:r>
            <w:fldChar w:fldCharType="separate"/>
          </w:r>
          <w:r>
            <w:rPr>
              <w:rStyle w:val="18"/>
              <w:rFonts w:ascii="Times New Roman" w:hAnsi="Times New Roman" w:eastAsia="仿宋_GB2312" w:cs="Times New Roman"/>
              <w:sz w:val="28"/>
              <w:szCs w:val="28"/>
            </w:rPr>
            <w:t>三、科学规划一般保护区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_Toc59298934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- 30 -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04CC2F7">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"_Toc59298935" </w:instrText>
          </w:r>
          <w:r>
            <w:fldChar w:fldCharType="separate"/>
          </w:r>
          <w:r>
            <w:rPr>
              <w:rStyle w:val="18"/>
              <w:rFonts w:ascii="Times New Roman" w:hAnsi="Times New Roman" w:eastAsia="仿宋_GB2312" w:cs="Times New Roman"/>
              <w:sz w:val="28"/>
              <w:szCs w:val="28"/>
            </w:rPr>
            <w:t>四、完成勘界定标工作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_Toc59298935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- 31 -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BE0352E">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"_Toc59298936" </w:instrText>
          </w:r>
          <w:r>
            <w:fldChar w:fldCharType="separate"/>
          </w:r>
          <w:r>
            <w:rPr>
              <w:rStyle w:val="18"/>
              <w:rFonts w:ascii="Times New Roman" w:hAnsi="Times New Roman" w:eastAsia="仿宋_GB2312" w:cs="Times New Roman"/>
              <w:sz w:val="28"/>
              <w:szCs w:val="28"/>
            </w:rPr>
            <w:t>五、加强国土空间管控</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_Toc59298936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- 32 -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364E914">
          <w:pPr>
            <w:pStyle w:val="9"/>
            <w:spacing w:line="520" w:lineRule="exact"/>
            <w:rPr>
              <w:b w:val="0"/>
            </w:rPr>
          </w:pPr>
          <w:r>
            <w:fldChar w:fldCharType="begin"/>
          </w:r>
          <w:r>
            <w:instrText xml:space="preserve"> HYPERLINK \l "_Toc59298937" </w:instrText>
          </w:r>
          <w:r>
            <w:fldChar w:fldCharType="separate"/>
          </w:r>
          <w:r>
            <w:rPr>
              <w:rStyle w:val="18"/>
            </w:rPr>
            <w:t>第五章  加强林业生态建设，促进林业健康发展</w:t>
          </w:r>
          <w:r>
            <w:tab/>
          </w:r>
          <w:r>
            <w:fldChar w:fldCharType="begin"/>
          </w:r>
          <w:r>
            <w:instrText xml:space="preserve"> PAGEREF _Toc59298937 \h </w:instrText>
          </w:r>
          <w:r>
            <w:fldChar w:fldCharType="separate"/>
          </w:r>
          <w:r>
            <w:t>- 34 -</w:t>
          </w:r>
          <w:r>
            <w:fldChar w:fldCharType="end"/>
          </w:r>
          <w:r>
            <w:fldChar w:fldCharType="end"/>
          </w:r>
        </w:p>
        <w:p w14:paraId="514E4B14">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"_Toc59298938" </w:instrText>
          </w:r>
          <w:r>
            <w:fldChar w:fldCharType="separate"/>
          </w:r>
          <w:r>
            <w:rPr>
              <w:rStyle w:val="18"/>
              <w:rFonts w:ascii="Times New Roman" w:hAnsi="Times New Roman" w:eastAsia="仿宋_GB2312" w:cs="Times New Roman"/>
              <w:sz w:val="28"/>
              <w:szCs w:val="28"/>
            </w:rPr>
            <w:t>一、实施封山育林与禁牧</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_Toc59298938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- 34 -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3A31B8D">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"_Toc59298939" </w:instrText>
          </w:r>
          <w:r>
            <w:fldChar w:fldCharType="separate"/>
          </w:r>
          <w:r>
            <w:rPr>
              <w:rStyle w:val="18"/>
              <w:rFonts w:ascii="Times New Roman" w:hAnsi="Times New Roman" w:eastAsia="仿宋_GB2312" w:cs="Times New Roman"/>
              <w:sz w:val="28"/>
              <w:szCs w:val="28"/>
            </w:rPr>
            <w:t>二、开展营林造林重点工作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_Toc59298939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- 35 -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364CF88">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"_Toc59298940" </w:instrText>
          </w:r>
          <w:r>
            <w:fldChar w:fldCharType="separate"/>
          </w:r>
          <w:r>
            <w:rPr>
              <w:rStyle w:val="18"/>
              <w:rFonts w:ascii="Times New Roman" w:hAnsi="Times New Roman" w:eastAsia="仿宋_GB2312" w:cs="Times New Roman"/>
              <w:sz w:val="28"/>
              <w:szCs w:val="28"/>
            </w:rPr>
            <w:t>三、加强天然林保护</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_Toc59298940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- 36 -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D7A700C">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"_Toc59298941" </w:instrText>
          </w:r>
          <w:r>
            <w:fldChar w:fldCharType="separate"/>
          </w:r>
          <w:r>
            <w:rPr>
              <w:rStyle w:val="18"/>
              <w:rFonts w:ascii="Times New Roman" w:hAnsi="Times New Roman" w:eastAsia="仿宋_GB2312" w:cs="Times New Roman"/>
              <w:sz w:val="28"/>
              <w:szCs w:val="28"/>
            </w:rPr>
            <w:t>四、持续开展退耕还林还草</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_Toc59298941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- 37 -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D293574">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"_Toc59298942" </w:instrText>
          </w:r>
          <w:r>
            <w:fldChar w:fldCharType="separate"/>
          </w:r>
          <w:r>
            <w:rPr>
              <w:rStyle w:val="18"/>
              <w:rFonts w:ascii="Times New Roman" w:hAnsi="Times New Roman" w:eastAsia="仿宋_GB2312" w:cs="Times New Roman"/>
              <w:sz w:val="28"/>
              <w:szCs w:val="28"/>
            </w:rPr>
            <w:t>五、提升森林资源管护能力</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_Toc59298942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- 37 -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0F48CB7">
          <w:pPr>
            <w:pStyle w:val="9"/>
            <w:spacing w:line="520" w:lineRule="exact"/>
            <w:rPr>
              <w:b w:val="0"/>
            </w:rPr>
          </w:pPr>
          <w:r>
            <w:fldChar w:fldCharType="begin"/>
          </w:r>
          <w:r>
            <w:instrText xml:space="preserve"> HYPERLINK \l "_Toc59298943" </w:instrText>
          </w:r>
          <w:r>
            <w:fldChar w:fldCharType="separate"/>
          </w:r>
          <w:r>
            <w:rPr>
              <w:rStyle w:val="18"/>
            </w:rPr>
            <w:t>第六章  深化水土资源保护，提升水源涵养能力</w:t>
          </w:r>
          <w:r>
            <w:tab/>
          </w:r>
          <w:r>
            <w:fldChar w:fldCharType="begin"/>
          </w:r>
          <w:r>
            <w:instrText xml:space="preserve"> PAGEREF _Toc59298943 \h </w:instrText>
          </w:r>
          <w:r>
            <w:fldChar w:fldCharType="separate"/>
          </w:r>
          <w:r>
            <w:t>- 40 -</w:t>
          </w:r>
          <w:r>
            <w:fldChar w:fldCharType="end"/>
          </w:r>
          <w:r>
            <w:fldChar w:fldCharType="end"/>
          </w:r>
        </w:p>
        <w:p w14:paraId="00C71FB4">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"_Toc59298944" </w:instrText>
          </w:r>
          <w:r>
            <w:fldChar w:fldCharType="separate"/>
          </w:r>
          <w:r>
            <w:rPr>
              <w:rStyle w:val="18"/>
              <w:rFonts w:ascii="Times New Roman" w:hAnsi="Times New Roman" w:eastAsia="仿宋_GB2312" w:cs="Times New Roman"/>
              <w:sz w:val="28"/>
              <w:szCs w:val="28"/>
            </w:rPr>
            <w:t>一、强化水功能区监督管理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_Toc59298944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- 40 -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217D9FC">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"_Toc59298945" </w:instrText>
          </w:r>
          <w:r>
            <w:fldChar w:fldCharType="separate"/>
          </w:r>
          <w:r>
            <w:rPr>
              <w:rStyle w:val="18"/>
              <w:rFonts w:ascii="Times New Roman" w:hAnsi="Times New Roman" w:eastAsia="仿宋_GB2312" w:cs="Times New Roman"/>
              <w:sz w:val="28"/>
              <w:szCs w:val="28"/>
            </w:rPr>
            <w:t>二、深化饮用水水源地保护</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_Toc59298945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- 41 -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8128F16">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"_Toc59298946" </w:instrText>
          </w:r>
          <w:r>
            <w:fldChar w:fldCharType="separate"/>
          </w:r>
          <w:r>
            <w:rPr>
              <w:rStyle w:val="18"/>
              <w:rFonts w:ascii="Times New Roman" w:hAnsi="Times New Roman" w:eastAsia="仿宋_GB2312" w:cs="Times New Roman"/>
              <w:sz w:val="28"/>
              <w:szCs w:val="28"/>
            </w:rPr>
            <w:t>三、进一步加强水土保持工作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_Toc59298946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- 42 -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B080BA5">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"_Toc59298947" </w:instrText>
          </w:r>
          <w:r>
            <w:fldChar w:fldCharType="separate"/>
          </w:r>
          <w:r>
            <w:rPr>
              <w:rStyle w:val="18"/>
              <w:rFonts w:ascii="Times New Roman" w:hAnsi="Times New Roman" w:eastAsia="仿宋_GB2312" w:cs="Times New Roman"/>
              <w:sz w:val="28"/>
              <w:szCs w:val="28"/>
            </w:rPr>
            <w:t>四、强化流域污染防治工作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_Toc59298947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- 44 -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EB38BD1">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"_Toc59298948" </w:instrText>
          </w:r>
          <w:r>
            <w:fldChar w:fldCharType="separate"/>
          </w:r>
          <w:r>
            <w:rPr>
              <w:rStyle w:val="18"/>
              <w:rFonts w:ascii="Times New Roman" w:hAnsi="Times New Roman" w:eastAsia="仿宋_GB2312" w:cs="Times New Roman"/>
              <w:sz w:val="28"/>
              <w:szCs w:val="28"/>
            </w:rPr>
            <w:t>五、加强水资源节约集约利用</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_Toc59298948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- 46 -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907805A">
          <w:pPr>
            <w:pStyle w:val="9"/>
            <w:spacing w:line="520" w:lineRule="exact"/>
            <w:rPr>
              <w:b w:val="0"/>
            </w:rPr>
          </w:pPr>
          <w:r>
            <w:fldChar w:fldCharType="begin"/>
          </w:r>
          <w:r>
            <w:instrText xml:space="preserve"> HYPERLINK \l "_Toc59298949" </w:instrText>
          </w:r>
          <w:r>
            <w:fldChar w:fldCharType="separate"/>
          </w:r>
          <w:r>
            <w:rPr>
              <w:rStyle w:val="18"/>
            </w:rPr>
            <w:t>第七章  加强生物多样性保护，提升物种丰富度</w:t>
          </w:r>
          <w:r>
            <w:tab/>
          </w:r>
          <w:r>
            <w:fldChar w:fldCharType="begin"/>
          </w:r>
          <w:r>
            <w:instrText xml:space="preserve"> PAGEREF _Toc59298949 \h </w:instrText>
          </w:r>
          <w:r>
            <w:fldChar w:fldCharType="separate"/>
          </w:r>
          <w:r>
            <w:t>- 47 -</w:t>
          </w:r>
          <w:r>
            <w:fldChar w:fldCharType="end"/>
          </w:r>
          <w:r>
            <w:fldChar w:fldCharType="end"/>
          </w:r>
        </w:p>
        <w:p w14:paraId="5FD3FC12">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"_Toc59298950" </w:instrText>
          </w:r>
          <w:r>
            <w:fldChar w:fldCharType="separate"/>
          </w:r>
          <w:r>
            <w:rPr>
              <w:rStyle w:val="18"/>
              <w:rFonts w:ascii="Times New Roman" w:hAnsi="Times New Roman" w:eastAsia="仿宋_GB2312" w:cs="Times New Roman"/>
              <w:sz w:val="28"/>
              <w:szCs w:val="28"/>
            </w:rPr>
            <w:t>一、加强野生动植物保护</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_Toc59298950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- 47 -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27A36A6">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"_Toc59298951" </w:instrText>
          </w:r>
          <w:r>
            <w:fldChar w:fldCharType="separate"/>
          </w:r>
          <w:r>
            <w:rPr>
              <w:rStyle w:val="18"/>
              <w:rFonts w:ascii="Times New Roman" w:hAnsi="Times New Roman" w:eastAsia="仿宋_GB2312" w:cs="Times New Roman"/>
              <w:sz w:val="28"/>
              <w:szCs w:val="28"/>
            </w:rPr>
            <w:t>二、强化湿地生态保护与修复</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_Toc59298951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- 48 -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58F5EAB">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"_Toc59298952" </w:instrText>
          </w:r>
          <w:r>
            <w:fldChar w:fldCharType="separate"/>
          </w:r>
          <w:r>
            <w:rPr>
              <w:rStyle w:val="18"/>
              <w:rFonts w:ascii="Times New Roman" w:hAnsi="Times New Roman" w:eastAsia="仿宋_GB2312" w:cs="Times New Roman"/>
              <w:sz w:val="28"/>
              <w:szCs w:val="28"/>
            </w:rPr>
            <w:t>三、加强自然保护地体系建设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_Toc59298952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- 49 -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82F69DC">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"_Toc59298953" </w:instrText>
          </w:r>
          <w:r>
            <w:fldChar w:fldCharType="separate"/>
          </w:r>
          <w:r>
            <w:rPr>
              <w:rStyle w:val="18"/>
              <w:rFonts w:ascii="Times New Roman" w:hAnsi="Times New Roman" w:eastAsia="仿宋_GB2312" w:cs="Times New Roman"/>
              <w:sz w:val="28"/>
              <w:szCs w:val="28"/>
            </w:rPr>
            <w:t>四、构建绿色生态廊道</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_Toc59298953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- 50 -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DFD0F69">
          <w:pPr>
            <w:pStyle w:val="9"/>
            <w:spacing w:line="520" w:lineRule="exact"/>
            <w:rPr>
              <w:b w:val="0"/>
            </w:rPr>
          </w:pPr>
          <w:r>
            <w:fldChar w:fldCharType="begin"/>
          </w:r>
          <w:r>
            <w:instrText xml:space="preserve"> HYPERLINK \l "_Toc59298954" </w:instrText>
          </w:r>
          <w:r>
            <w:fldChar w:fldCharType="separate"/>
          </w:r>
          <w:r>
            <w:rPr>
              <w:rStyle w:val="18"/>
            </w:rPr>
            <w:t>第八章  坚持刚性约束原则，严控开发建设活动</w:t>
          </w:r>
          <w:r>
            <w:tab/>
          </w:r>
          <w:r>
            <w:fldChar w:fldCharType="begin"/>
          </w:r>
          <w:r>
            <w:instrText xml:space="preserve"> PAGEREF _Toc59298954 \h </w:instrText>
          </w:r>
          <w:r>
            <w:fldChar w:fldCharType="separate"/>
          </w:r>
          <w:r>
            <w:t>- 52 -</w:t>
          </w:r>
          <w:r>
            <w:fldChar w:fldCharType="end"/>
          </w:r>
          <w:r>
            <w:fldChar w:fldCharType="end"/>
          </w:r>
        </w:p>
        <w:p w14:paraId="70451DF6">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"_Toc59298955" </w:instrText>
          </w:r>
          <w:r>
            <w:fldChar w:fldCharType="separate"/>
          </w:r>
          <w:r>
            <w:rPr>
              <w:rStyle w:val="18"/>
              <w:rFonts w:ascii="Times New Roman" w:hAnsi="Times New Roman" w:eastAsia="仿宋_GB2312" w:cs="Times New Roman"/>
              <w:sz w:val="28"/>
              <w:szCs w:val="28"/>
            </w:rPr>
            <w:t>一、矿产资源开发保护</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_Toc59298955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- 52 -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69B5916">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"_Toc59298956" </w:instrText>
          </w:r>
          <w:r>
            <w:fldChar w:fldCharType="separate"/>
          </w:r>
          <w:r>
            <w:rPr>
              <w:rStyle w:val="18"/>
              <w:rFonts w:ascii="Times New Roman" w:hAnsi="Times New Roman" w:eastAsia="仿宋_GB2312" w:cs="Times New Roman"/>
              <w:sz w:val="28"/>
              <w:szCs w:val="28"/>
            </w:rPr>
            <w:t>二、交通设施建设保护</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_Toc59298956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- 54 -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0B55811">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"_Toc59298957" </w:instrText>
          </w:r>
          <w:r>
            <w:fldChar w:fldCharType="separate"/>
          </w:r>
          <w:r>
            <w:rPr>
              <w:rStyle w:val="18"/>
              <w:rFonts w:ascii="Times New Roman" w:hAnsi="Times New Roman" w:eastAsia="仿宋_GB2312" w:cs="Times New Roman"/>
              <w:sz w:val="28"/>
              <w:szCs w:val="28"/>
            </w:rPr>
            <w:t>三、城镇乡村建设保护</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_Toc59298957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- 56 -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8004B0F">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"_Toc59298958" </w:instrText>
          </w:r>
          <w:r>
            <w:fldChar w:fldCharType="separate"/>
          </w:r>
          <w:r>
            <w:rPr>
              <w:rStyle w:val="18"/>
              <w:rFonts w:ascii="Times New Roman" w:hAnsi="Times New Roman" w:eastAsia="仿宋_GB2312" w:cs="Times New Roman"/>
              <w:sz w:val="28"/>
              <w:szCs w:val="28"/>
            </w:rPr>
            <w:t>四、旅游开发建设保护</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_Toc59298958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- 58 -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E4C51D7">
          <w:pPr>
            <w:pStyle w:val="9"/>
            <w:spacing w:line="520" w:lineRule="exact"/>
            <w:rPr>
              <w:b w:val="0"/>
            </w:rPr>
          </w:pPr>
          <w:r>
            <w:fldChar w:fldCharType="begin"/>
          </w:r>
          <w:r>
            <w:instrText xml:space="preserve"> HYPERLINK \l "_Toc59298959" </w:instrText>
          </w:r>
          <w:r>
            <w:fldChar w:fldCharType="separate"/>
          </w:r>
          <w:r>
            <w:rPr>
              <w:rStyle w:val="18"/>
            </w:rPr>
            <w:t>第九章  深化重点领域治理，提升区域生态功能</w:t>
          </w:r>
          <w:r>
            <w:tab/>
          </w:r>
          <w:r>
            <w:fldChar w:fldCharType="begin"/>
          </w:r>
          <w:r>
            <w:instrText xml:space="preserve"> PAGEREF _Toc59298959 \h </w:instrText>
          </w:r>
          <w:r>
            <w:fldChar w:fldCharType="separate"/>
          </w:r>
          <w:r>
            <w:t>- 61 -</w:t>
          </w:r>
          <w:r>
            <w:fldChar w:fldCharType="end"/>
          </w:r>
          <w:r>
            <w:fldChar w:fldCharType="end"/>
          </w:r>
        </w:p>
        <w:p w14:paraId="50ECABAD">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"_Toc59298960" </w:instrText>
          </w:r>
          <w:r>
            <w:fldChar w:fldCharType="separate"/>
          </w:r>
          <w:r>
            <w:rPr>
              <w:rStyle w:val="18"/>
              <w:rFonts w:ascii="Times New Roman" w:hAnsi="Times New Roman" w:eastAsia="仿宋_GB2312" w:cs="Times New Roman"/>
              <w:sz w:val="28"/>
              <w:szCs w:val="28"/>
            </w:rPr>
            <w:t>一、开展矿山生态环境保护与治理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_Toc59298960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- 61 -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282EE61">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"_Toc59298961" </w:instrText>
          </w:r>
          <w:r>
            <w:fldChar w:fldCharType="separate"/>
          </w:r>
          <w:r>
            <w:rPr>
              <w:rStyle w:val="18"/>
              <w:rFonts w:ascii="Times New Roman" w:hAnsi="Times New Roman" w:eastAsia="仿宋_GB2312" w:cs="Times New Roman"/>
              <w:sz w:val="28"/>
              <w:szCs w:val="28"/>
            </w:rPr>
            <w:t>二、深入实施小水电退出与整治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_Toc59298961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- 62 -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3FFD39C">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"_Toc59298962" </w:instrText>
          </w:r>
          <w:r>
            <w:fldChar w:fldCharType="separate"/>
          </w:r>
          <w:r>
            <w:rPr>
              <w:rStyle w:val="18"/>
              <w:rFonts w:ascii="Times New Roman" w:hAnsi="Times New Roman" w:eastAsia="仿宋_GB2312" w:cs="Times New Roman"/>
              <w:sz w:val="28"/>
              <w:szCs w:val="28"/>
            </w:rPr>
            <w:t>三、加强尾矿库安全监督管理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_Toc59298962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- 63 -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865CF61">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"_Toc59298963" </w:instrText>
          </w:r>
          <w:r>
            <w:fldChar w:fldCharType="separate"/>
          </w:r>
          <w:r>
            <w:rPr>
              <w:rStyle w:val="18"/>
              <w:rFonts w:ascii="Times New Roman" w:hAnsi="Times New Roman" w:eastAsia="仿宋_GB2312" w:cs="Times New Roman"/>
              <w:sz w:val="28"/>
              <w:szCs w:val="28"/>
            </w:rPr>
            <w:t>四、加强地质灾害防治工作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_Toc59298963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- 64 -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4D18F8F">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"_Toc59298964" </w:instrText>
          </w:r>
          <w:r>
            <w:fldChar w:fldCharType="separate"/>
          </w:r>
          <w:r>
            <w:rPr>
              <w:rStyle w:val="18"/>
              <w:rFonts w:ascii="Times New Roman" w:hAnsi="Times New Roman" w:eastAsia="仿宋_GB2312" w:cs="Times New Roman"/>
              <w:sz w:val="28"/>
              <w:szCs w:val="28"/>
            </w:rPr>
            <w:t>五、强化农村环境综合整治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_Toc59298964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- 66 -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67D3A31">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"_Toc59298965" </w:instrText>
          </w:r>
          <w:r>
            <w:fldChar w:fldCharType="separate"/>
          </w:r>
          <w:r>
            <w:rPr>
              <w:rStyle w:val="18"/>
              <w:rFonts w:ascii="Times New Roman" w:hAnsi="Times New Roman" w:eastAsia="仿宋_GB2312" w:cs="Times New Roman"/>
              <w:sz w:val="28"/>
              <w:szCs w:val="28"/>
            </w:rPr>
            <w:t>六、加强土壤污染防治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_Toc59298965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- 68 -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D2E2A18">
          <w:pPr>
            <w:pStyle w:val="9"/>
            <w:spacing w:line="520" w:lineRule="exact"/>
            <w:rPr>
              <w:b w:val="0"/>
            </w:rPr>
          </w:pPr>
          <w:r>
            <w:fldChar w:fldCharType="begin"/>
          </w:r>
          <w:r>
            <w:instrText xml:space="preserve"> HYPERLINK \l "_Toc59298966" </w:instrText>
          </w:r>
          <w:r>
            <w:fldChar w:fldCharType="separate"/>
          </w:r>
          <w:r>
            <w:rPr>
              <w:rStyle w:val="18"/>
            </w:rPr>
            <w:t>第十章  构建生态产业体系，实现绿色循环发展</w:t>
          </w:r>
          <w:r>
            <w:tab/>
          </w:r>
          <w:r>
            <w:fldChar w:fldCharType="begin"/>
          </w:r>
          <w:r>
            <w:instrText xml:space="preserve"> PAGEREF _Toc59298966 \h </w:instrText>
          </w:r>
          <w:r>
            <w:fldChar w:fldCharType="separate"/>
          </w:r>
          <w:r>
            <w:t>- 70 -</w:t>
          </w:r>
          <w:r>
            <w:fldChar w:fldCharType="end"/>
          </w:r>
          <w:r>
            <w:fldChar w:fldCharType="end"/>
          </w:r>
        </w:p>
        <w:p w14:paraId="3F11885A">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"_Toc59298967" </w:instrText>
          </w:r>
          <w:r>
            <w:fldChar w:fldCharType="separate"/>
          </w:r>
          <w:r>
            <w:rPr>
              <w:rStyle w:val="18"/>
              <w:rFonts w:ascii="Times New Roman" w:hAnsi="Times New Roman" w:eastAsia="仿宋_GB2312" w:cs="Times New Roman"/>
              <w:sz w:val="28"/>
              <w:szCs w:val="28"/>
            </w:rPr>
            <w:t>一、完善绿色循环经济体系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_Toc59298967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- 70 -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EA8AFED">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"_Toc59298968" </w:instrText>
          </w:r>
          <w:r>
            <w:fldChar w:fldCharType="separate"/>
          </w:r>
          <w:r>
            <w:rPr>
              <w:rStyle w:val="18"/>
              <w:rFonts w:ascii="Times New Roman" w:hAnsi="Times New Roman" w:eastAsia="仿宋_GB2312" w:cs="Times New Roman"/>
              <w:sz w:val="28"/>
              <w:szCs w:val="28"/>
            </w:rPr>
            <w:t>二、大力发展高山农产产业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_Toc59298968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- 71 -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871D8A9">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"_Toc59298969" </w:instrText>
          </w:r>
          <w:r>
            <w:fldChar w:fldCharType="separate"/>
          </w:r>
          <w:r>
            <w:rPr>
              <w:rStyle w:val="18"/>
              <w:rFonts w:ascii="Times New Roman" w:hAnsi="Times New Roman" w:eastAsia="仿宋_GB2312" w:cs="Times New Roman"/>
              <w:sz w:val="28"/>
              <w:szCs w:val="28"/>
            </w:rPr>
            <w:t>三、创新发展新型材料产业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_Toc59298969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- 73 -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291A2C3">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"_Toc59298970" </w:instrText>
          </w:r>
          <w:r>
            <w:fldChar w:fldCharType="separate"/>
          </w:r>
          <w:r>
            <w:rPr>
              <w:rStyle w:val="18"/>
              <w:rFonts w:ascii="Times New Roman" w:hAnsi="Times New Roman" w:eastAsia="仿宋_GB2312" w:cs="Times New Roman"/>
              <w:sz w:val="28"/>
              <w:szCs w:val="28"/>
            </w:rPr>
            <w:t>四、深入推进全域旅游发展</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_Toc59298970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- 74 -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81DE4BD">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"_Toc59298971" </w:instrText>
          </w:r>
          <w:r>
            <w:fldChar w:fldCharType="separate"/>
          </w:r>
          <w:r>
            <w:rPr>
              <w:rStyle w:val="18"/>
              <w:rFonts w:ascii="Times New Roman" w:hAnsi="Times New Roman" w:eastAsia="仿宋_GB2312" w:cs="Times New Roman"/>
              <w:sz w:val="28"/>
              <w:szCs w:val="28"/>
            </w:rPr>
            <w:t>五、着力培育医康养旅产业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_Toc59298971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- 74 -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DDCEE97">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"_Toc59298972" </w:instrText>
          </w:r>
          <w:r>
            <w:fldChar w:fldCharType="separate"/>
          </w:r>
          <w:r>
            <w:rPr>
              <w:rStyle w:val="18"/>
              <w:rFonts w:ascii="Times New Roman" w:hAnsi="Times New Roman" w:eastAsia="仿宋_GB2312" w:cs="Times New Roman"/>
              <w:sz w:val="28"/>
              <w:szCs w:val="28"/>
            </w:rPr>
            <w:t>六、完善产业准入清单制度</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_Toc59298972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- 75 -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FB9FF15">
          <w:pPr>
            <w:pStyle w:val="9"/>
            <w:spacing w:line="520" w:lineRule="exact"/>
            <w:rPr>
              <w:b w:val="0"/>
            </w:rPr>
          </w:pPr>
          <w:r>
            <w:fldChar w:fldCharType="begin"/>
          </w:r>
          <w:r>
            <w:instrText xml:space="preserve"> HYPERLINK \l "_Toc59298973" </w:instrText>
          </w:r>
          <w:r>
            <w:fldChar w:fldCharType="separate"/>
          </w:r>
          <w:r>
            <w:rPr>
              <w:rStyle w:val="18"/>
            </w:rPr>
            <w:t>第十一章  提升民生保障水平，打造美丽幸福新镇安</w:t>
          </w:r>
          <w:r>
            <w:tab/>
          </w:r>
          <w:r>
            <w:fldChar w:fldCharType="begin"/>
          </w:r>
          <w:r>
            <w:instrText xml:space="preserve"> PAGEREF _Toc59298973 \h </w:instrText>
          </w:r>
          <w:r>
            <w:fldChar w:fldCharType="separate"/>
          </w:r>
          <w:r>
            <w:t>- 77 -</w:t>
          </w:r>
          <w:r>
            <w:fldChar w:fldCharType="end"/>
          </w:r>
          <w:r>
            <w:fldChar w:fldCharType="end"/>
          </w:r>
        </w:p>
        <w:p w14:paraId="2D7B9595">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"_Toc59298974" </w:instrText>
          </w:r>
          <w:r>
            <w:fldChar w:fldCharType="separate"/>
          </w:r>
          <w:r>
            <w:rPr>
              <w:rStyle w:val="18"/>
              <w:rFonts w:ascii="Times New Roman" w:hAnsi="Times New Roman" w:eastAsia="仿宋_GB2312" w:cs="Times New Roman"/>
              <w:sz w:val="28"/>
              <w:szCs w:val="28"/>
            </w:rPr>
            <w:t>一、巩固脱贫攻坚成果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_Toc59298974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- 77 -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9263D82">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"_Toc59298975" </w:instrText>
          </w:r>
          <w:r>
            <w:fldChar w:fldCharType="separate"/>
          </w:r>
          <w:r>
            <w:rPr>
              <w:rStyle w:val="18"/>
              <w:rFonts w:ascii="Times New Roman" w:hAnsi="Times New Roman" w:eastAsia="仿宋_GB2312" w:cs="Times New Roman"/>
              <w:sz w:val="28"/>
              <w:szCs w:val="28"/>
            </w:rPr>
            <w:t>二、实施乡村振兴战略</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_Toc59298975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- 78 -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B128FE6">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"_Toc59298976" </w:instrText>
          </w:r>
          <w:r>
            <w:fldChar w:fldCharType="separate"/>
          </w:r>
          <w:r>
            <w:rPr>
              <w:rStyle w:val="18"/>
              <w:rFonts w:ascii="Times New Roman" w:hAnsi="Times New Roman" w:eastAsia="仿宋_GB2312" w:cs="Times New Roman"/>
              <w:sz w:val="28"/>
              <w:szCs w:val="28"/>
            </w:rPr>
            <w:t>三、推进公共服务发展</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_Toc59298976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- 79 -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2274525">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"_Toc59298977" </w:instrText>
          </w:r>
          <w:r>
            <w:fldChar w:fldCharType="separate"/>
          </w:r>
          <w:r>
            <w:rPr>
              <w:rStyle w:val="18"/>
              <w:rFonts w:ascii="Times New Roman" w:hAnsi="Times New Roman" w:eastAsia="仿宋_GB2312" w:cs="Times New Roman"/>
              <w:sz w:val="28"/>
              <w:szCs w:val="28"/>
            </w:rPr>
            <w:t>四、打好污染防治攻坚战</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_Toc59298977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- 80 -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7946712">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"_Toc59298978" </w:instrText>
          </w:r>
          <w:r>
            <w:fldChar w:fldCharType="separate"/>
          </w:r>
          <w:r>
            <w:rPr>
              <w:rStyle w:val="18"/>
              <w:rFonts w:ascii="Times New Roman" w:hAnsi="Times New Roman" w:eastAsia="仿宋_GB2312" w:cs="Times New Roman"/>
              <w:sz w:val="28"/>
              <w:szCs w:val="28"/>
            </w:rPr>
            <w:t>五、提升城市建设品质</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_Toc59298978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- 80 -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342F414">
          <w:pPr>
            <w:pStyle w:val="9"/>
            <w:spacing w:line="520" w:lineRule="exact"/>
            <w:rPr>
              <w:b w:val="0"/>
            </w:rPr>
          </w:pPr>
          <w:r>
            <w:fldChar w:fldCharType="begin"/>
          </w:r>
          <w:r>
            <w:instrText xml:space="preserve"> HYPERLINK \l "_Toc59298979" </w:instrText>
          </w:r>
          <w:r>
            <w:fldChar w:fldCharType="separate"/>
          </w:r>
          <w:r>
            <w:rPr>
              <w:rStyle w:val="18"/>
            </w:rPr>
            <w:t>第十二章  保障措施</w:t>
          </w:r>
          <w:r>
            <w:tab/>
          </w:r>
          <w:r>
            <w:fldChar w:fldCharType="begin"/>
          </w:r>
          <w:r>
            <w:instrText xml:space="preserve"> PAGEREF _Toc59298979 \h </w:instrText>
          </w:r>
          <w:r>
            <w:fldChar w:fldCharType="separate"/>
          </w:r>
          <w:r>
            <w:t>- 83 -</w:t>
          </w:r>
          <w:r>
            <w:fldChar w:fldCharType="end"/>
          </w:r>
          <w:r>
            <w:fldChar w:fldCharType="end"/>
          </w:r>
        </w:p>
        <w:p w14:paraId="6A9A9B99">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"_Toc59298980" </w:instrText>
          </w:r>
          <w:r>
            <w:fldChar w:fldCharType="separate"/>
          </w:r>
          <w:r>
            <w:rPr>
              <w:rStyle w:val="18"/>
              <w:rFonts w:ascii="Times New Roman" w:hAnsi="Times New Roman" w:eastAsia="仿宋_GB2312" w:cs="Times New Roman"/>
              <w:sz w:val="28"/>
              <w:szCs w:val="28"/>
            </w:rPr>
            <w:t>一、夯实保护职责</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_Toc59298980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- 83 -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85031FF">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"_Toc59298981" </w:instrText>
          </w:r>
          <w:r>
            <w:fldChar w:fldCharType="separate"/>
          </w:r>
          <w:r>
            <w:rPr>
              <w:rStyle w:val="18"/>
              <w:rFonts w:ascii="Times New Roman" w:hAnsi="Times New Roman" w:eastAsia="仿宋_GB2312" w:cs="Times New Roman"/>
              <w:sz w:val="28"/>
              <w:szCs w:val="28"/>
            </w:rPr>
            <w:t>二、狠抓问题整改</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_Toc59298981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- 83 -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79ACF50">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"_Toc59298982" </w:instrText>
          </w:r>
          <w:r>
            <w:fldChar w:fldCharType="separate"/>
          </w:r>
          <w:r>
            <w:rPr>
              <w:rStyle w:val="18"/>
              <w:rFonts w:ascii="Times New Roman" w:hAnsi="Times New Roman" w:eastAsia="仿宋_GB2312" w:cs="Times New Roman"/>
              <w:sz w:val="28"/>
              <w:szCs w:val="28"/>
            </w:rPr>
            <w:t>三、完善制度建设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_Toc59298982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- 84 -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9101B70">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"_Toc59298983" </w:instrText>
          </w:r>
          <w:r>
            <w:fldChar w:fldCharType="separate"/>
          </w:r>
          <w:r>
            <w:rPr>
              <w:rStyle w:val="18"/>
              <w:rFonts w:ascii="Times New Roman" w:hAnsi="Times New Roman" w:eastAsia="仿宋_GB2312" w:cs="Times New Roman"/>
              <w:sz w:val="28"/>
              <w:szCs w:val="28"/>
            </w:rPr>
            <w:t>四、加大资金投入</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_Toc59298983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- 84 -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9F95655">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"_Toc59298984" </w:instrText>
          </w:r>
          <w:r>
            <w:fldChar w:fldCharType="separate"/>
          </w:r>
          <w:r>
            <w:rPr>
              <w:rStyle w:val="18"/>
              <w:rFonts w:ascii="Times New Roman" w:hAnsi="Times New Roman" w:eastAsia="仿宋_GB2312" w:cs="Times New Roman"/>
              <w:sz w:val="28"/>
              <w:szCs w:val="28"/>
            </w:rPr>
            <w:t>五、强化科技支撑</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_Toc59298984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- 85 -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D71A8AA">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"_Toc59298985" </w:instrText>
          </w:r>
          <w:r>
            <w:fldChar w:fldCharType="separate"/>
          </w:r>
          <w:r>
            <w:rPr>
              <w:rStyle w:val="18"/>
              <w:rFonts w:ascii="Times New Roman" w:hAnsi="Times New Roman" w:eastAsia="仿宋_GB2312" w:cs="Times New Roman"/>
              <w:sz w:val="28"/>
              <w:szCs w:val="28"/>
            </w:rPr>
            <w:t>六、加强监督管理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_Toc59298985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- 85 -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C60348F">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"_Toc59298986" </w:instrText>
          </w:r>
          <w:r>
            <w:fldChar w:fldCharType="separate"/>
          </w:r>
          <w:r>
            <w:rPr>
              <w:rStyle w:val="18"/>
              <w:rFonts w:ascii="Times New Roman" w:hAnsi="Times New Roman" w:eastAsia="仿宋_GB2312" w:cs="Times New Roman"/>
              <w:sz w:val="28"/>
              <w:szCs w:val="28"/>
            </w:rPr>
            <w:t>七、严格考核评估</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_Toc59298986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- 86 -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1CD31A1">
          <w:pPr>
            <w:pStyle w:val="11"/>
            <w:tabs>
              <w:tab w:val="right" w:leader="dot" w:pos="8834"/>
            </w:tabs>
            <w:spacing w:line="520" w:lineRule="exact"/>
            <w:ind w:left="0" w:leftChars="0" w:firstLine="420" w:firstLineChars="200"/>
            <w:rPr>
              <w:rFonts w:ascii="Times New Roman" w:hAnsi="Times New Roman" w:eastAsia="仿宋_GB2312" w:cs="Times New Roman"/>
              <w:sz w:val="28"/>
              <w:szCs w:val="28"/>
            </w:rPr>
          </w:pPr>
          <w:r>
            <w:fldChar w:fldCharType="begin"/>
          </w:r>
          <w:r>
            <w:instrText xml:space="preserve"> HYPERLINK \l "_Toc59298987" </w:instrText>
          </w:r>
          <w:r>
            <w:fldChar w:fldCharType="separate"/>
          </w:r>
          <w:r>
            <w:rPr>
              <w:rStyle w:val="18"/>
              <w:rFonts w:ascii="Times New Roman" w:hAnsi="Times New Roman" w:eastAsia="仿宋_GB2312" w:cs="Times New Roman"/>
              <w:sz w:val="28"/>
              <w:szCs w:val="28"/>
            </w:rPr>
            <w:t>八、深化宣传引导</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_Toc59298987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- 86 -</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7F5EBF7">
          <w:pPr>
            <w:pStyle w:val="9"/>
            <w:spacing w:line="520" w:lineRule="exact"/>
            <w:rPr>
              <w:b w:val="0"/>
            </w:rPr>
          </w:pPr>
          <w:r>
            <w:fldChar w:fldCharType="begin"/>
          </w:r>
          <w:r>
            <w:instrText xml:space="preserve"> HYPERLINK \l "_Toc59298988" </w:instrText>
          </w:r>
          <w:r>
            <w:fldChar w:fldCharType="separate"/>
          </w:r>
          <w:r>
            <w:rPr>
              <w:rStyle w:val="18"/>
            </w:rPr>
            <w:t>附件：镇安县秦岭生态环境保护规划分区示意图</w:t>
          </w:r>
          <w:r>
            <w:tab/>
          </w:r>
          <w:r>
            <w:fldChar w:fldCharType="begin"/>
          </w:r>
          <w:r>
            <w:instrText xml:space="preserve"> PAGEREF _Toc59298988 \h </w:instrText>
          </w:r>
          <w:r>
            <w:fldChar w:fldCharType="separate"/>
          </w:r>
          <w:r>
            <w:t>- 87 -</w:t>
          </w:r>
          <w:r>
            <w:fldChar w:fldCharType="end"/>
          </w:r>
          <w:r>
            <w:fldChar w:fldCharType="end"/>
          </w:r>
        </w:p>
        <w:p w14:paraId="21D94297">
          <w:pPr>
            <w:spacing w:line="520" w:lineRule="exact"/>
            <w:ind w:firstLine="562" w:firstLineChars="200"/>
          </w:pPr>
          <w:r>
            <w:rPr>
              <w:rFonts w:ascii="Times New Roman" w:hAnsi="Times New Roman" w:eastAsia="仿宋_GB2312" w:cs="Times New Roman"/>
              <w:b/>
              <w:bCs/>
              <w:sz w:val="28"/>
              <w:szCs w:val="28"/>
              <w:lang w:val="zh-CN"/>
            </w:rPr>
            <w:fldChar w:fldCharType="end"/>
          </w:r>
        </w:p>
      </w:sdtContent>
    </w:sdt>
    <w:p w14:paraId="7B752AD6">
      <w:pPr>
        <w:pStyle w:val="22"/>
        <w:ind w:firstLine="0" w:firstLineChars="0"/>
        <w:jc w:val="center"/>
        <w:rPr>
          <w:rFonts w:ascii="方正小标宋简体" w:eastAsia="方正小标宋简体"/>
          <w:shd w:val="clear" w:color="auto" w:fill="auto"/>
        </w:rPr>
        <w:sectPr>
          <w:headerReference r:id="rId6" w:type="default"/>
          <w:footerReference r:id="rId7" w:type="default"/>
          <w:pgSz w:w="11906" w:h="16838"/>
          <w:pgMar w:top="1531" w:right="1531" w:bottom="1418" w:left="1531" w:header="851" w:footer="992" w:gutter="0"/>
          <w:pgNumType w:fmt="upperRoman" w:start="1"/>
          <w:cols w:space="425" w:num="1"/>
          <w:docGrid w:type="lines" w:linePitch="312" w:charSpace="0"/>
        </w:sectPr>
      </w:pPr>
    </w:p>
    <w:p w14:paraId="6DB898E9">
      <w:pPr>
        <w:pStyle w:val="22"/>
        <w:ind w:firstLine="640"/>
        <w:rPr>
          <w:shd w:val="clear" w:color="auto" w:fill="auto"/>
        </w:rPr>
      </w:pPr>
    </w:p>
    <w:p w14:paraId="4C8CD235">
      <w:pPr>
        <w:pStyle w:val="22"/>
        <w:ind w:firstLine="640"/>
        <w:rPr>
          <w:shd w:val="clear" w:color="auto" w:fill="auto"/>
        </w:rPr>
      </w:pPr>
    </w:p>
    <w:p w14:paraId="58F94016">
      <w:pPr>
        <w:pStyle w:val="22"/>
        <w:ind w:firstLine="640"/>
        <w:rPr>
          <w:shd w:val="clear" w:color="auto" w:fill="auto"/>
        </w:rPr>
        <w:sectPr>
          <w:headerReference r:id="rId8" w:type="default"/>
          <w:footerReference r:id="rId9" w:type="default"/>
          <w:pgSz w:w="11906" w:h="16838"/>
          <w:pgMar w:top="1531" w:right="1531" w:bottom="1418" w:left="1531" w:header="851" w:footer="992" w:gutter="0"/>
          <w:pgNumType w:fmt="upperRoman" w:start="1"/>
          <w:cols w:space="425" w:num="1"/>
          <w:docGrid w:type="lines" w:linePitch="312" w:charSpace="0"/>
        </w:sectPr>
      </w:pPr>
    </w:p>
    <w:p w14:paraId="5DCF08C5">
      <w:pPr>
        <w:pStyle w:val="26"/>
        <w:spacing w:before="312" w:after="312"/>
        <w:rPr>
          <w:shd w:val="clear" w:color="auto" w:fill="auto"/>
        </w:rPr>
      </w:pPr>
      <w:bookmarkStart w:id="0" w:name="_Toc59298918"/>
      <w:r>
        <w:rPr>
          <w:rFonts w:hint="eastAsia"/>
          <w:shd w:val="clear" w:color="auto" w:fill="auto"/>
        </w:rPr>
        <w:t xml:space="preserve">第一章 </w:t>
      </w:r>
      <w:r>
        <w:rPr>
          <w:shd w:val="clear" w:color="auto" w:fill="auto"/>
        </w:rPr>
        <w:t xml:space="preserve"> </w:t>
      </w:r>
      <w:r>
        <w:rPr>
          <w:rFonts w:hint="eastAsia"/>
          <w:shd w:val="clear" w:color="auto" w:fill="auto"/>
        </w:rPr>
        <w:t>区域概况</w:t>
      </w:r>
      <w:bookmarkEnd w:id="0"/>
    </w:p>
    <w:p w14:paraId="6A905D95">
      <w:pPr>
        <w:pStyle w:val="32"/>
        <w:spacing w:before="156" w:after="156"/>
        <w:ind w:firstLine="640"/>
        <w:rPr>
          <w:shd w:val="clear" w:color="auto" w:fill="auto"/>
        </w:rPr>
      </w:pPr>
      <w:bookmarkStart w:id="1" w:name="_Toc59298919"/>
      <w:r>
        <w:rPr>
          <w:shd w:val="clear" w:color="auto" w:fill="auto"/>
        </w:rPr>
        <w:t>一</w:t>
      </w:r>
      <w:r>
        <w:rPr>
          <w:rFonts w:hint="eastAsia"/>
          <w:shd w:val="clear" w:color="auto" w:fill="auto"/>
        </w:rPr>
        <w:t>、</w:t>
      </w:r>
      <w:r>
        <w:rPr>
          <w:shd w:val="clear" w:color="auto" w:fill="auto"/>
        </w:rPr>
        <w:t>保护面积</w:t>
      </w:r>
      <w:bookmarkEnd w:id="1"/>
    </w:p>
    <w:p w14:paraId="3F630C2C">
      <w:pPr>
        <w:pStyle w:val="22"/>
        <w:ind w:firstLine="640"/>
        <w:rPr>
          <w:shd w:val="clear" w:color="auto" w:fill="auto"/>
        </w:rPr>
      </w:pPr>
      <w:r>
        <w:rPr>
          <w:rFonts w:hint="eastAsia"/>
          <w:shd w:val="clear" w:color="auto" w:fill="auto"/>
        </w:rPr>
        <w:t>镇安县位于陕西省东南部，秦岭南麓，商洛市西南部。东西长175.5公里，南北宽72.5公里，总面积3487平方公里。镇安县域地势西北高，东南低，山大沟深，耕地少，是个“九山半水半分田”的土石山区县。镇安自古是西安通往安康的要道，是联系陕西与湖北的天然纽带，素有“秦楚咽喉”之称。</w:t>
      </w:r>
    </w:p>
    <w:p w14:paraId="55D6D52A">
      <w:pPr>
        <w:pStyle w:val="38"/>
        <w:rPr>
          <w:shd w:val="clear" w:color="auto" w:fill="auto"/>
        </w:rPr>
      </w:pPr>
      <w:r>
        <w:rPr>
          <w:shd w:val="clear" w:color="auto" w:fill="auto"/>
        </w:rPr>
        <w:drawing>
          <wp:inline distT="0" distB="0" distL="0" distR="0">
            <wp:extent cx="5615940" cy="3327400"/>
            <wp:effectExtent l="19050" t="19050" r="22860" b="254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615940" cy="3327400"/>
                    </a:xfrm>
                    <a:prstGeom prst="rect">
                      <a:avLst/>
                    </a:prstGeom>
                    <a:ln>
                      <a:solidFill>
                        <a:schemeClr val="tx1"/>
                      </a:solidFill>
                    </a:ln>
                  </pic:spPr>
                </pic:pic>
              </a:graphicData>
            </a:graphic>
          </wp:inline>
        </w:drawing>
      </w:r>
    </w:p>
    <w:p w14:paraId="2DBC9CA7">
      <w:pPr>
        <w:pStyle w:val="36"/>
      </w:pPr>
      <w:r>
        <w:rPr>
          <w:rFonts w:hint="eastAsia"/>
          <w:shd w:val="clear" w:color="auto" w:fill="auto"/>
        </w:rPr>
        <w:t xml:space="preserve">图 </w:t>
      </w:r>
      <w:r>
        <w:rPr>
          <w:shd w:val="clear" w:color="auto" w:fill="auto"/>
        </w:rPr>
        <w:t>1 镇安县</w:t>
      </w:r>
      <w:r>
        <w:rPr>
          <w:rFonts w:hint="eastAsia"/>
          <w:shd w:val="clear" w:color="auto" w:fill="auto"/>
        </w:rPr>
        <w:t>区位图</w:t>
      </w:r>
    </w:p>
    <w:p w14:paraId="37D277D4">
      <w:pPr>
        <w:pStyle w:val="22"/>
        <w:ind w:firstLine="640"/>
        <w:rPr>
          <w:rFonts w:hint="eastAsia"/>
          <w:shd w:val="clear" w:color="auto" w:fill="auto"/>
        </w:rPr>
      </w:pPr>
      <w:r>
        <w:rPr>
          <w:rFonts w:hint="eastAsia"/>
          <w:shd w:val="clear" w:color="auto" w:fill="auto"/>
        </w:rPr>
        <w:t>依据《条例》及省市规划，镇安县全境在秦岭生态环境保护范围内，东西长175.5公里，南北宽72.5公里，总面积3487平方公里，包含14个镇，1个街道办事处，1</w:t>
      </w:r>
      <w:r>
        <w:rPr>
          <w:shd w:val="clear" w:color="auto" w:fill="auto"/>
        </w:rPr>
        <w:t>47</w:t>
      </w:r>
      <w:r>
        <w:rPr>
          <w:rFonts w:hint="eastAsia"/>
          <w:shd w:val="clear" w:color="auto" w:fill="auto"/>
        </w:rPr>
        <w:t>个行政村，7个社区，具体详见专栏1。</w:t>
      </w:r>
    </w:p>
    <w:p w14:paraId="06F200E2">
      <w:pPr>
        <w:pStyle w:val="22"/>
        <w:ind w:firstLine="640"/>
        <w:rPr>
          <w:rFonts w:hint="eastAsia"/>
          <w:shd w:val="clear" w:color="auto" w:fill="auto"/>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1"/>
        <w:gridCol w:w="7159"/>
      </w:tblGrid>
      <w:tr w14:paraId="0A27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00" w:type="pct"/>
            <w:gridSpan w:val="2"/>
            <w:vAlign w:val="center"/>
          </w:tcPr>
          <w:p w14:paraId="11587905">
            <w:pPr>
              <w:pStyle w:val="36"/>
              <w:rPr>
                <w:shd w:val="clear" w:color="auto" w:fill="auto"/>
              </w:rPr>
            </w:pPr>
            <w:r>
              <w:rPr>
                <w:rFonts w:hint="eastAsia"/>
                <w:shd w:val="clear" w:color="auto" w:fill="auto"/>
              </w:rPr>
              <w:t>专栏 1 镇安县秦岭生态环境保护范围涉及镇、村</w:t>
            </w:r>
          </w:p>
        </w:tc>
      </w:tr>
      <w:tr w14:paraId="30E9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049" w:type="pct"/>
            <w:vAlign w:val="center"/>
          </w:tcPr>
          <w:p w14:paraId="406338BE">
            <w:pPr>
              <w:pStyle w:val="34"/>
              <w:rPr>
                <w:b/>
                <w:shd w:val="clear" w:color="auto" w:fill="auto"/>
              </w:rPr>
            </w:pPr>
            <w:r>
              <w:rPr>
                <w:rFonts w:hint="eastAsia"/>
                <w:b/>
                <w:shd w:val="clear" w:color="auto" w:fill="auto"/>
              </w:rPr>
              <w:t>镇（办）</w:t>
            </w:r>
          </w:p>
        </w:tc>
        <w:tc>
          <w:tcPr>
            <w:tcW w:w="3951" w:type="pct"/>
            <w:vAlign w:val="center"/>
          </w:tcPr>
          <w:p w14:paraId="3984A638">
            <w:pPr>
              <w:pStyle w:val="34"/>
              <w:rPr>
                <w:b/>
                <w:shd w:val="clear" w:color="auto" w:fill="auto"/>
              </w:rPr>
            </w:pPr>
            <w:r>
              <w:rPr>
                <w:rFonts w:hint="eastAsia"/>
                <w:b/>
                <w:shd w:val="clear" w:color="auto" w:fill="auto"/>
              </w:rPr>
              <w:t>包含的村（社区）</w:t>
            </w:r>
          </w:p>
        </w:tc>
      </w:tr>
      <w:tr w14:paraId="6094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3AF0FEBA">
            <w:pPr>
              <w:pStyle w:val="34"/>
              <w:rPr>
                <w:b/>
                <w:shd w:val="clear" w:color="auto" w:fill="auto"/>
              </w:rPr>
            </w:pPr>
            <w:r>
              <w:rPr>
                <w:b/>
                <w:shd w:val="clear" w:color="auto" w:fill="auto"/>
              </w:rPr>
              <w:t>永乐街道办</w:t>
            </w:r>
          </w:p>
        </w:tc>
        <w:tc>
          <w:tcPr>
            <w:tcW w:w="3951" w:type="pct"/>
            <w:vAlign w:val="center"/>
          </w:tcPr>
          <w:p w14:paraId="3A621A3A">
            <w:pPr>
              <w:pStyle w:val="34"/>
              <w:jc w:val="both"/>
              <w:rPr>
                <w:shd w:val="clear" w:color="auto" w:fill="auto"/>
              </w:rPr>
            </w:pPr>
            <w:r>
              <w:rPr>
                <w:rFonts w:hint="eastAsia"/>
                <w:shd w:val="clear" w:color="auto" w:fill="auto"/>
              </w:rPr>
              <w:t>6个社区1</w:t>
            </w:r>
            <w:r>
              <w:rPr>
                <w:shd w:val="clear" w:color="auto" w:fill="auto"/>
              </w:rPr>
              <w:t>3个行政村</w:t>
            </w:r>
            <w:r>
              <w:rPr>
                <w:rFonts w:hint="eastAsia"/>
                <w:shd w:val="clear" w:color="auto" w:fill="auto"/>
              </w:rPr>
              <w:t>：北城社区、王家坪社区、青槐社区、青河社区、镇城社区、新城社区、栗园村、杏树坡村、安山村、山海村、锡铜沟村、中合村、金花村、花甲村、八亩坪村、木园村、孙家砭村、庙坡村、太平村</w:t>
            </w:r>
          </w:p>
        </w:tc>
      </w:tr>
      <w:tr w14:paraId="2EDA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4D52D85A">
            <w:pPr>
              <w:pStyle w:val="34"/>
              <w:rPr>
                <w:b/>
                <w:shd w:val="clear" w:color="auto" w:fill="auto"/>
              </w:rPr>
            </w:pPr>
            <w:r>
              <w:rPr>
                <w:b/>
                <w:shd w:val="clear" w:color="auto" w:fill="auto"/>
              </w:rPr>
              <w:t>回龙镇</w:t>
            </w:r>
          </w:p>
        </w:tc>
        <w:tc>
          <w:tcPr>
            <w:tcW w:w="3951" w:type="pct"/>
            <w:vAlign w:val="center"/>
          </w:tcPr>
          <w:p w14:paraId="1F70362B">
            <w:pPr>
              <w:pStyle w:val="34"/>
              <w:jc w:val="both"/>
              <w:rPr>
                <w:shd w:val="clear" w:color="auto" w:fill="auto"/>
              </w:rPr>
            </w:pPr>
            <w:r>
              <w:rPr>
                <w:rFonts w:hint="eastAsia"/>
                <w:shd w:val="clear" w:color="auto" w:fill="auto"/>
              </w:rPr>
              <w:t>6个行政村：宏丰村、双龙村、和坪村、万寿村、枣园村、回龙村</w:t>
            </w:r>
          </w:p>
        </w:tc>
      </w:tr>
      <w:tr w14:paraId="2249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1ADCF7D9">
            <w:pPr>
              <w:pStyle w:val="34"/>
              <w:rPr>
                <w:b/>
                <w:shd w:val="clear" w:color="auto" w:fill="auto"/>
              </w:rPr>
            </w:pPr>
            <w:r>
              <w:rPr>
                <w:b/>
                <w:shd w:val="clear" w:color="auto" w:fill="auto"/>
              </w:rPr>
              <w:t>铁厂镇</w:t>
            </w:r>
          </w:p>
        </w:tc>
        <w:tc>
          <w:tcPr>
            <w:tcW w:w="3951" w:type="pct"/>
            <w:vAlign w:val="center"/>
          </w:tcPr>
          <w:p w14:paraId="5C541F7E">
            <w:pPr>
              <w:pStyle w:val="34"/>
              <w:jc w:val="both"/>
              <w:rPr>
                <w:shd w:val="clear" w:color="auto" w:fill="auto"/>
              </w:rPr>
            </w:pPr>
            <w:r>
              <w:rPr>
                <w:rFonts w:hint="eastAsia"/>
                <w:shd w:val="clear" w:color="auto" w:fill="auto"/>
              </w:rPr>
              <w:t>8个行政村：新民村、新联村、新声村、铁铜村、姬家河村、庄河村、铁厂村、西沟口村</w:t>
            </w:r>
          </w:p>
        </w:tc>
      </w:tr>
      <w:tr w14:paraId="4711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68A9B8AF">
            <w:pPr>
              <w:pStyle w:val="34"/>
              <w:rPr>
                <w:b/>
                <w:shd w:val="clear" w:color="auto" w:fill="auto"/>
              </w:rPr>
            </w:pPr>
            <w:r>
              <w:rPr>
                <w:b/>
                <w:shd w:val="clear" w:color="auto" w:fill="auto"/>
              </w:rPr>
              <w:t>大坪镇</w:t>
            </w:r>
          </w:p>
        </w:tc>
        <w:tc>
          <w:tcPr>
            <w:tcW w:w="3951" w:type="pct"/>
            <w:vAlign w:val="center"/>
          </w:tcPr>
          <w:p w14:paraId="7334AE5B">
            <w:pPr>
              <w:pStyle w:val="34"/>
              <w:jc w:val="both"/>
              <w:rPr>
                <w:shd w:val="clear" w:color="auto" w:fill="auto"/>
              </w:rPr>
            </w:pPr>
            <w:r>
              <w:rPr>
                <w:rFonts w:hint="eastAsia"/>
                <w:shd w:val="clear" w:color="auto" w:fill="auto"/>
              </w:rPr>
              <w:t>1</w:t>
            </w:r>
            <w:r>
              <w:rPr>
                <w:shd w:val="clear" w:color="auto" w:fill="auto"/>
              </w:rPr>
              <w:t>2个行政村</w:t>
            </w:r>
            <w:r>
              <w:rPr>
                <w:rFonts w:hint="eastAsia"/>
                <w:shd w:val="clear" w:color="auto" w:fill="auto"/>
              </w:rPr>
              <w:t>：龙湾村、全胜村、庙沟村、芋园村、岩屋村、红旗村、园山村、旗帜村、小河子村、凤凰村、龙池村、三义村</w:t>
            </w:r>
          </w:p>
        </w:tc>
      </w:tr>
      <w:tr w14:paraId="2372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113922FE">
            <w:pPr>
              <w:pStyle w:val="34"/>
              <w:rPr>
                <w:b/>
                <w:shd w:val="clear" w:color="auto" w:fill="auto"/>
              </w:rPr>
            </w:pPr>
            <w:r>
              <w:rPr>
                <w:b/>
                <w:shd w:val="clear" w:color="auto" w:fill="auto"/>
              </w:rPr>
              <w:t>米粮镇</w:t>
            </w:r>
          </w:p>
        </w:tc>
        <w:tc>
          <w:tcPr>
            <w:tcW w:w="3951" w:type="pct"/>
            <w:vAlign w:val="center"/>
          </w:tcPr>
          <w:p w14:paraId="4CDBB31B">
            <w:pPr>
              <w:pStyle w:val="34"/>
              <w:jc w:val="both"/>
              <w:rPr>
                <w:shd w:val="clear" w:color="auto" w:fill="auto"/>
              </w:rPr>
            </w:pPr>
            <w:r>
              <w:rPr>
                <w:rFonts w:hint="eastAsia"/>
                <w:shd w:val="clear" w:color="auto" w:fill="auto"/>
              </w:rPr>
              <w:t>1</w:t>
            </w:r>
            <w:r>
              <w:rPr>
                <w:shd w:val="clear" w:color="auto" w:fill="auto"/>
              </w:rPr>
              <w:t>7个行政村</w:t>
            </w:r>
            <w:r>
              <w:rPr>
                <w:rFonts w:hint="eastAsia"/>
                <w:shd w:val="clear" w:color="auto" w:fill="auto"/>
              </w:rPr>
              <w:t>：丰河村、红卫村、树坪村、门里村、联盟村、欢迎村、八一村、月明村、西河村、莲池村、界河村、光明村、清泉村、水峡村、江西村、清泥村、东铺村</w:t>
            </w:r>
          </w:p>
        </w:tc>
      </w:tr>
      <w:tr w14:paraId="1016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0CA25A53">
            <w:pPr>
              <w:pStyle w:val="34"/>
              <w:rPr>
                <w:b/>
                <w:shd w:val="clear" w:color="auto" w:fill="auto"/>
              </w:rPr>
            </w:pPr>
            <w:r>
              <w:rPr>
                <w:b/>
                <w:shd w:val="clear" w:color="auto" w:fill="auto"/>
              </w:rPr>
              <w:t>茅坪回族镇</w:t>
            </w:r>
          </w:p>
        </w:tc>
        <w:tc>
          <w:tcPr>
            <w:tcW w:w="3951" w:type="pct"/>
            <w:vAlign w:val="center"/>
          </w:tcPr>
          <w:p w14:paraId="359E2C4F">
            <w:pPr>
              <w:pStyle w:val="34"/>
              <w:jc w:val="both"/>
              <w:rPr>
                <w:shd w:val="clear" w:color="auto" w:fill="auto"/>
              </w:rPr>
            </w:pPr>
            <w:r>
              <w:rPr>
                <w:rFonts w:hint="eastAsia"/>
                <w:shd w:val="clear" w:color="auto" w:fill="auto"/>
              </w:rPr>
              <w:t>7个行政村：元坪村、峰景村、腰庄河村、红光村、五星村、五福村、茅坪村</w:t>
            </w:r>
          </w:p>
        </w:tc>
      </w:tr>
      <w:tr w14:paraId="7074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50E31BEF">
            <w:pPr>
              <w:pStyle w:val="34"/>
              <w:rPr>
                <w:b/>
                <w:shd w:val="clear" w:color="auto" w:fill="auto"/>
              </w:rPr>
            </w:pPr>
            <w:r>
              <w:rPr>
                <w:b/>
                <w:shd w:val="clear" w:color="auto" w:fill="auto"/>
              </w:rPr>
              <w:t>西口回族镇</w:t>
            </w:r>
          </w:p>
        </w:tc>
        <w:tc>
          <w:tcPr>
            <w:tcW w:w="3951" w:type="pct"/>
            <w:vAlign w:val="center"/>
          </w:tcPr>
          <w:p w14:paraId="21E1D9FF">
            <w:pPr>
              <w:pStyle w:val="34"/>
              <w:jc w:val="both"/>
              <w:rPr>
                <w:shd w:val="clear" w:color="auto" w:fill="auto"/>
              </w:rPr>
            </w:pPr>
            <w:r>
              <w:rPr>
                <w:rFonts w:hint="eastAsia"/>
                <w:shd w:val="clear" w:color="auto" w:fill="auto"/>
              </w:rPr>
              <w:t>1</w:t>
            </w:r>
            <w:r>
              <w:rPr>
                <w:shd w:val="clear" w:color="auto" w:fill="auto"/>
              </w:rPr>
              <w:t>0个行政村</w:t>
            </w:r>
            <w:r>
              <w:rPr>
                <w:rFonts w:hint="eastAsia"/>
                <w:shd w:val="clear" w:color="auto" w:fill="auto"/>
              </w:rPr>
              <w:t>：聂家沟村、农丰村、石门村、宝石村、东庄村、岭沟村、长发村、石景村、上河村、青树村</w:t>
            </w:r>
          </w:p>
        </w:tc>
      </w:tr>
      <w:tr w14:paraId="6C73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4AD74191">
            <w:pPr>
              <w:pStyle w:val="34"/>
              <w:rPr>
                <w:b/>
                <w:shd w:val="clear" w:color="auto" w:fill="auto"/>
              </w:rPr>
            </w:pPr>
            <w:r>
              <w:rPr>
                <w:b/>
                <w:shd w:val="clear" w:color="auto" w:fill="auto"/>
              </w:rPr>
              <w:t>高峰镇</w:t>
            </w:r>
          </w:p>
        </w:tc>
        <w:tc>
          <w:tcPr>
            <w:tcW w:w="3951" w:type="pct"/>
            <w:vAlign w:val="center"/>
          </w:tcPr>
          <w:p w14:paraId="6734B795">
            <w:pPr>
              <w:pStyle w:val="34"/>
              <w:jc w:val="both"/>
              <w:rPr>
                <w:shd w:val="clear" w:color="auto" w:fill="auto"/>
              </w:rPr>
            </w:pPr>
            <w:r>
              <w:rPr>
                <w:rFonts w:hint="eastAsia"/>
                <w:shd w:val="clear" w:color="auto" w:fill="auto"/>
              </w:rPr>
              <w:t>1</w:t>
            </w:r>
            <w:r>
              <w:rPr>
                <w:shd w:val="clear" w:color="auto" w:fill="auto"/>
              </w:rPr>
              <w:t>2个行政村</w:t>
            </w:r>
            <w:r>
              <w:rPr>
                <w:rFonts w:hint="eastAsia"/>
                <w:shd w:val="clear" w:color="auto" w:fill="auto"/>
              </w:rPr>
              <w:t>：渔坪村、银坪村、青山村、两河村、永丰村、正河村、升坪村、农科村、三台村、东岭村、营胜村、长坡村</w:t>
            </w:r>
          </w:p>
        </w:tc>
      </w:tr>
      <w:tr w14:paraId="4D7F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2DDDCFFB">
            <w:pPr>
              <w:pStyle w:val="34"/>
              <w:rPr>
                <w:b/>
                <w:shd w:val="clear" w:color="auto" w:fill="auto"/>
              </w:rPr>
            </w:pPr>
            <w:r>
              <w:rPr>
                <w:b/>
                <w:shd w:val="clear" w:color="auto" w:fill="auto"/>
              </w:rPr>
              <w:t>青铜关镇</w:t>
            </w:r>
          </w:p>
        </w:tc>
        <w:tc>
          <w:tcPr>
            <w:tcW w:w="3951" w:type="pct"/>
            <w:vAlign w:val="center"/>
          </w:tcPr>
          <w:p w14:paraId="73242A83">
            <w:pPr>
              <w:pStyle w:val="34"/>
              <w:jc w:val="both"/>
              <w:rPr>
                <w:shd w:val="clear" w:color="auto" w:fill="auto"/>
              </w:rPr>
            </w:pPr>
            <w:r>
              <w:rPr>
                <w:rFonts w:hint="eastAsia"/>
                <w:shd w:val="clear" w:color="auto" w:fill="auto"/>
              </w:rPr>
              <w:t>1</w:t>
            </w:r>
            <w:r>
              <w:rPr>
                <w:shd w:val="clear" w:color="auto" w:fill="auto"/>
              </w:rPr>
              <w:t>2个行政村</w:t>
            </w:r>
            <w:r>
              <w:rPr>
                <w:rFonts w:hint="eastAsia"/>
                <w:shd w:val="clear" w:color="auto" w:fill="auto"/>
              </w:rPr>
              <w:t>：冷水河村、营丰村、月星村、丰收村、东坪村、兴隆村、阳山村、铜关村、青梅村、乡中村、旬河村、前湾村</w:t>
            </w:r>
          </w:p>
        </w:tc>
      </w:tr>
      <w:tr w14:paraId="42C4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3B47B777">
            <w:pPr>
              <w:pStyle w:val="34"/>
              <w:rPr>
                <w:b/>
                <w:shd w:val="clear" w:color="auto" w:fill="auto"/>
              </w:rPr>
            </w:pPr>
            <w:r>
              <w:rPr>
                <w:b/>
                <w:shd w:val="clear" w:color="auto" w:fill="auto"/>
              </w:rPr>
              <w:t>柴坪镇</w:t>
            </w:r>
          </w:p>
        </w:tc>
        <w:tc>
          <w:tcPr>
            <w:tcW w:w="3951" w:type="pct"/>
            <w:vAlign w:val="center"/>
          </w:tcPr>
          <w:p w14:paraId="3CFFF76E">
            <w:pPr>
              <w:pStyle w:val="34"/>
              <w:jc w:val="both"/>
              <w:rPr>
                <w:shd w:val="clear" w:color="auto" w:fill="auto"/>
              </w:rPr>
            </w:pPr>
            <w:r>
              <w:rPr>
                <w:rFonts w:hint="eastAsia"/>
                <w:shd w:val="clear" w:color="auto" w:fill="auto"/>
              </w:rPr>
              <w:t>1</w:t>
            </w:r>
            <w:r>
              <w:rPr>
                <w:shd w:val="clear" w:color="auto" w:fill="auto"/>
              </w:rPr>
              <w:t>1个行政村</w:t>
            </w:r>
            <w:r>
              <w:rPr>
                <w:rFonts w:hint="eastAsia"/>
                <w:shd w:val="clear" w:color="auto" w:fill="auto"/>
              </w:rPr>
              <w:t>：安坪村、和睦村、松柏村、金虎村、东瓜村、向阳村、桃园村、石湾村、柴坪村、建国村、余师村</w:t>
            </w:r>
          </w:p>
        </w:tc>
      </w:tr>
      <w:tr w14:paraId="57C4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77E4CD35">
            <w:pPr>
              <w:pStyle w:val="34"/>
              <w:rPr>
                <w:b/>
                <w:shd w:val="clear" w:color="auto" w:fill="auto"/>
              </w:rPr>
            </w:pPr>
            <w:r>
              <w:rPr>
                <w:b/>
                <w:shd w:val="clear" w:color="auto" w:fill="auto"/>
              </w:rPr>
              <w:t>达仁镇</w:t>
            </w:r>
          </w:p>
        </w:tc>
        <w:tc>
          <w:tcPr>
            <w:tcW w:w="3951" w:type="pct"/>
            <w:vAlign w:val="center"/>
          </w:tcPr>
          <w:p w14:paraId="541F81D5">
            <w:pPr>
              <w:pStyle w:val="34"/>
              <w:jc w:val="both"/>
              <w:rPr>
                <w:shd w:val="clear" w:color="auto" w:fill="auto"/>
              </w:rPr>
            </w:pPr>
            <w:r>
              <w:rPr>
                <w:rFonts w:hint="eastAsia"/>
                <w:shd w:val="clear" w:color="auto" w:fill="auto"/>
              </w:rPr>
              <w:t>8个行政村：农光村、狮子口村、丽光村、双河村、枫坪村、春光村、象园村、玉泉村</w:t>
            </w:r>
          </w:p>
        </w:tc>
      </w:tr>
      <w:tr w14:paraId="7AD7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2C879BEA">
            <w:pPr>
              <w:pStyle w:val="34"/>
              <w:rPr>
                <w:b/>
                <w:shd w:val="clear" w:color="auto" w:fill="auto"/>
              </w:rPr>
            </w:pPr>
            <w:r>
              <w:rPr>
                <w:b/>
                <w:shd w:val="clear" w:color="auto" w:fill="auto"/>
              </w:rPr>
              <w:t>木王镇</w:t>
            </w:r>
          </w:p>
        </w:tc>
        <w:tc>
          <w:tcPr>
            <w:tcW w:w="3951" w:type="pct"/>
            <w:vAlign w:val="center"/>
          </w:tcPr>
          <w:p w14:paraId="2653E079">
            <w:pPr>
              <w:pStyle w:val="34"/>
              <w:jc w:val="both"/>
              <w:rPr>
                <w:shd w:val="clear" w:color="auto" w:fill="auto"/>
              </w:rPr>
            </w:pPr>
            <w:r>
              <w:rPr>
                <w:rFonts w:hint="eastAsia"/>
                <w:shd w:val="clear" w:color="auto" w:fill="auto"/>
              </w:rPr>
              <w:t>8个行政村：桂林村、朝阳村、栗扎坪村、长坪村、平安村、坪胜村、月坪村、米粮寺村</w:t>
            </w:r>
          </w:p>
        </w:tc>
      </w:tr>
      <w:tr w14:paraId="485D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2D775181">
            <w:pPr>
              <w:pStyle w:val="34"/>
              <w:rPr>
                <w:b/>
                <w:shd w:val="clear" w:color="auto" w:fill="auto"/>
              </w:rPr>
            </w:pPr>
            <w:r>
              <w:rPr>
                <w:b/>
                <w:shd w:val="clear" w:color="auto" w:fill="auto"/>
              </w:rPr>
              <w:t>月河镇</w:t>
            </w:r>
          </w:p>
        </w:tc>
        <w:tc>
          <w:tcPr>
            <w:tcW w:w="3951" w:type="pct"/>
            <w:vAlign w:val="center"/>
          </w:tcPr>
          <w:p w14:paraId="6F23B82B">
            <w:pPr>
              <w:pStyle w:val="34"/>
              <w:jc w:val="both"/>
              <w:rPr>
                <w:shd w:val="clear" w:color="auto" w:fill="auto"/>
              </w:rPr>
            </w:pPr>
            <w:r>
              <w:rPr>
                <w:rFonts w:hint="eastAsia"/>
                <w:shd w:val="clear" w:color="auto" w:fill="auto"/>
              </w:rPr>
              <w:t>1</w:t>
            </w:r>
            <w:r>
              <w:rPr>
                <w:shd w:val="clear" w:color="auto" w:fill="auto"/>
              </w:rPr>
              <w:t>0个行政村</w:t>
            </w:r>
            <w:r>
              <w:rPr>
                <w:rFonts w:hint="eastAsia"/>
                <w:shd w:val="clear" w:color="auto" w:fill="auto"/>
              </w:rPr>
              <w:t>：八盘村、黄土岭村、先进村、太白庙村、先锋村、西川村、罗家营村、益兴村、菩萨殿村、川河村</w:t>
            </w:r>
          </w:p>
        </w:tc>
      </w:tr>
      <w:tr w14:paraId="2359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3EC06B92">
            <w:pPr>
              <w:pStyle w:val="34"/>
              <w:rPr>
                <w:b/>
                <w:shd w:val="clear" w:color="auto" w:fill="auto"/>
              </w:rPr>
            </w:pPr>
            <w:r>
              <w:rPr>
                <w:b/>
                <w:shd w:val="clear" w:color="auto" w:fill="auto"/>
              </w:rPr>
              <w:t>庙沟镇</w:t>
            </w:r>
          </w:p>
        </w:tc>
        <w:tc>
          <w:tcPr>
            <w:tcW w:w="3951" w:type="pct"/>
            <w:vAlign w:val="center"/>
          </w:tcPr>
          <w:p w14:paraId="241DB948">
            <w:pPr>
              <w:pStyle w:val="34"/>
              <w:jc w:val="both"/>
              <w:rPr>
                <w:shd w:val="clear" w:color="auto" w:fill="auto"/>
              </w:rPr>
            </w:pPr>
            <w:r>
              <w:rPr>
                <w:rFonts w:hint="eastAsia"/>
                <w:shd w:val="clear" w:color="auto" w:fill="auto"/>
              </w:rPr>
              <w:t>7个行政村：蒿坪村、双喜村、五一村、五四村、东沟村、中坪村、三联村</w:t>
            </w:r>
          </w:p>
        </w:tc>
      </w:tr>
      <w:tr w14:paraId="0470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9" w:type="pct"/>
            <w:vAlign w:val="center"/>
          </w:tcPr>
          <w:p w14:paraId="485F6663">
            <w:pPr>
              <w:pStyle w:val="34"/>
              <w:rPr>
                <w:b/>
                <w:shd w:val="clear" w:color="auto" w:fill="auto"/>
              </w:rPr>
            </w:pPr>
            <w:r>
              <w:rPr>
                <w:b/>
                <w:shd w:val="clear" w:color="auto" w:fill="auto"/>
              </w:rPr>
              <w:t>云盖寺镇</w:t>
            </w:r>
          </w:p>
        </w:tc>
        <w:tc>
          <w:tcPr>
            <w:tcW w:w="3951" w:type="pct"/>
            <w:vAlign w:val="center"/>
          </w:tcPr>
          <w:p w14:paraId="72D58589">
            <w:pPr>
              <w:pStyle w:val="34"/>
              <w:jc w:val="both"/>
              <w:rPr>
                <w:shd w:val="clear" w:color="auto" w:fill="auto"/>
              </w:rPr>
            </w:pPr>
            <w:r>
              <w:rPr>
                <w:rFonts w:hint="eastAsia"/>
                <w:shd w:val="clear" w:color="auto" w:fill="auto"/>
              </w:rPr>
              <w:t>1个社区6个行政村：云镇社区、西洞村、黑窑沟村、东洞村、西华村、岩湾村、金钟村</w:t>
            </w:r>
          </w:p>
        </w:tc>
      </w:tr>
    </w:tbl>
    <w:p w14:paraId="2D074C8E">
      <w:pPr>
        <w:pStyle w:val="22"/>
        <w:ind w:firstLine="640"/>
        <w:rPr>
          <w:shd w:val="clear" w:color="auto" w:fill="auto"/>
        </w:rPr>
      </w:pPr>
    </w:p>
    <w:p w14:paraId="40D023F3">
      <w:pPr>
        <w:pStyle w:val="22"/>
        <w:ind w:firstLine="640"/>
        <w:rPr>
          <w:shd w:val="clear" w:color="auto" w:fill="auto"/>
        </w:rPr>
        <w:sectPr>
          <w:headerReference r:id="rId10" w:type="default"/>
          <w:footerReference r:id="rId11" w:type="default"/>
          <w:pgSz w:w="11906" w:h="16838"/>
          <w:pgMar w:top="1531" w:right="1531" w:bottom="1418" w:left="1531" w:header="851" w:footer="992" w:gutter="0"/>
          <w:pgNumType w:fmt="numberInDash" w:start="1"/>
          <w:cols w:space="425" w:num="1"/>
          <w:docGrid w:type="lines" w:linePitch="312" w:charSpace="0"/>
        </w:sectPr>
      </w:pPr>
    </w:p>
    <w:p w14:paraId="1A624C53">
      <w:pPr>
        <w:pStyle w:val="32"/>
        <w:spacing w:before="156" w:after="156"/>
        <w:ind w:firstLine="640"/>
        <w:rPr>
          <w:shd w:val="clear" w:color="auto" w:fill="auto"/>
        </w:rPr>
      </w:pPr>
      <w:bookmarkStart w:id="2" w:name="_Toc59298920"/>
      <w:r>
        <w:rPr>
          <w:rFonts w:hint="eastAsia"/>
          <w:shd w:val="clear" w:color="auto" w:fill="auto"/>
        </w:rPr>
        <w:t>二、基本特征</w:t>
      </w:r>
      <w:bookmarkEnd w:id="2"/>
    </w:p>
    <w:p w14:paraId="4816CC84">
      <w:pPr>
        <w:pStyle w:val="29"/>
        <w:spacing w:before="156" w:after="156"/>
        <w:ind w:firstLine="643"/>
        <w:rPr>
          <w:shd w:val="clear" w:color="auto" w:fill="auto"/>
        </w:rPr>
      </w:pPr>
      <w:r>
        <w:rPr>
          <w:rFonts w:hint="eastAsia"/>
          <w:shd w:val="clear" w:color="auto" w:fill="auto"/>
        </w:rPr>
        <w:t>（一）地形地貌复杂多样</w:t>
      </w:r>
    </w:p>
    <w:p w14:paraId="2DB0BEEB">
      <w:pPr>
        <w:pStyle w:val="22"/>
        <w:ind w:firstLine="640"/>
        <w:rPr>
          <w:shd w:val="clear" w:color="auto" w:fill="auto"/>
        </w:rPr>
      </w:pPr>
      <w:r>
        <w:rPr>
          <w:rFonts w:hint="eastAsia"/>
          <w:shd w:val="clear" w:color="auto" w:fill="auto"/>
        </w:rPr>
        <w:t>镇安县位于秦岭地槽褶皱系的南秦岭印支褶皱带内，县域内山峦起伏，群峦叠嶂，有旬月支脉、旬乾支脉等秦岭支脉，最高点在杨泗、栗扎之间的鹰嘴石，海拔2601.6米，最低点在青铜关镇旬河村河谷，海拔344.0米，高低落差2257.6米，由于垂直分布变化大，形成了山川相间，谷峰相连，纵横交错，复杂多样的地貌特征。总体地势呈西北高、东南低，主要有中山地貌、低山地貌和河川地貌三大类型。</w:t>
      </w:r>
    </w:p>
    <w:p w14:paraId="7099047A">
      <w:pPr>
        <w:pStyle w:val="29"/>
        <w:spacing w:before="156" w:after="156"/>
        <w:ind w:firstLine="643"/>
        <w:rPr>
          <w:shd w:val="clear" w:color="auto" w:fill="auto"/>
        </w:rPr>
      </w:pPr>
      <w:r>
        <w:rPr>
          <w:rFonts w:hint="eastAsia"/>
          <w:shd w:val="clear" w:color="auto" w:fill="auto"/>
        </w:rPr>
        <w:t>（二）生物资源丰富多样</w:t>
      </w:r>
    </w:p>
    <w:p w14:paraId="394DA49F">
      <w:pPr>
        <w:pStyle w:val="22"/>
        <w:ind w:firstLine="640"/>
        <w:rPr>
          <w:shd w:val="clear" w:color="auto" w:fill="auto"/>
        </w:rPr>
      </w:pPr>
      <w:r>
        <w:rPr>
          <w:rFonts w:hint="eastAsia"/>
          <w:shd w:val="clear" w:color="auto" w:fill="auto"/>
        </w:rPr>
        <w:t>镇安县峰峦叠翠、</w:t>
      </w:r>
      <w:r>
        <w:rPr>
          <w:rFonts w:hint="eastAsia"/>
          <w:shd w:val="clear" w:color="auto" w:fill="auto"/>
          <w:lang w:eastAsia="zh-CN"/>
        </w:rPr>
        <w:t>山清水秀</w:t>
      </w:r>
      <w:r>
        <w:rPr>
          <w:rFonts w:hint="eastAsia"/>
          <w:shd w:val="clear" w:color="auto" w:fill="auto"/>
        </w:rPr>
        <w:t>、气候宜人，是我国秦巴生物多样性功能区，孕育了丰富多样的动植物资源，有“中国栗乡</w:t>
      </w:r>
      <w:r>
        <w:rPr>
          <w:rFonts w:hint="eastAsia"/>
          <w:shd w:val="clear" w:color="auto" w:fill="auto"/>
          <w:lang w:eastAsia="zh-CN"/>
        </w:rPr>
        <w:t>”“</w:t>
      </w:r>
      <w:r>
        <w:rPr>
          <w:rFonts w:hint="eastAsia"/>
          <w:shd w:val="clear" w:color="auto" w:fill="auto"/>
        </w:rPr>
        <w:t>天然药库”之称。有野生动物300余种，其中列入国家I级保护动物的有羚牛、林麝、云豹、金雕、金钱豹等，II级保护动物有苏门羚、黑熊、斑羚、黄羊、大鲵、锦鸡等。省级保护动物有豹猫、画眉等。种子植物达1300多种，主要树种有188种，其中银杏、樟树、木兰、桂花等为名贵树种，红豆杉、银杏等为国家I级保护植物。天麻、二花、五味子、当归等野生中药材达480余种，镇安大板栗、核桃、象园茶、生漆等大宗林特产品闻名国内外。</w:t>
      </w:r>
    </w:p>
    <w:p w14:paraId="3E54A9AF">
      <w:pPr>
        <w:pStyle w:val="29"/>
        <w:spacing w:before="156" w:after="156"/>
        <w:ind w:firstLine="643"/>
        <w:rPr>
          <w:shd w:val="clear" w:color="auto" w:fill="auto"/>
        </w:rPr>
      </w:pPr>
      <w:r>
        <w:rPr>
          <w:rFonts w:hint="eastAsia"/>
          <w:shd w:val="clear" w:color="auto" w:fill="auto"/>
        </w:rPr>
        <w:t>（三）水资源开发潜力大</w:t>
      </w:r>
    </w:p>
    <w:p w14:paraId="50FE8321">
      <w:pPr>
        <w:pStyle w:val="22"/>
        <w:ind w:firstLine="640"/>
        <w:rPr>
          <w:shd w:val="clear" w:color="auto" w:fill="auto"/>
        </w:rPr>
      </w:pPr>
      <w:r>
        <w:rPr>
          <w:rFonts w:hint="eastAsia"/>
          <w:shd w:val="clear" w:color="auto" w:fill="auto"/>
        </w:rPr>
        <w:t>镇安县是我国南水北调中线工程重要水源涵养区，有大小河流5</w:t>
      </w:r>
      <w:r>
        <w:rPr>
          <w:shd w:val="clear" w:color="auto" w:fill="auto"/>
        </w:rPr>
        <w:t>300</w:t>
      </w:r>
      <w:r>
        <w:rPr>
          <w:rFonts w:hint="eastAsia"/>
          <w:shd w:val="clear" w:color="auto" w:fill="auto"/>
        </w:rPr>
        <w:t>多条，其中流域面积在10平方公里以上的河流87条，1000平方公里以上的旬河、乾佑河贯穿全境。水力资源蕴藏量32.6万千瓦，可开发利用12万千瓦，是全国第一批中国农村初级电气化达标县。水流充沛，旬河梯级水力资源开发已列入国家长江支流汉江中上游梯级开发规划。</w:t>
      </w:r>
    </w:p>
    <w:p w14:paraId="4EF959AF">
      <w:pPr>
        <w:pStyle w:val="29"/>
        <w:spacing w:before="156" w:after="156"/>
        <w:ind w:firstLine="643"/>
        <w:rPr>
          <w:shd w:val="clear" w:color="auto" w:fill="auto"/>
        </w:rPr>
      </w:pPr>
      <w:r>
        <w:rPr>
          <w:rFonts w:hint="eastAsia"/>
          <w:shd w:val="clear" w:color="auto" w:fill="auto"/>
        </w:rPr>
        <w:t>（四）矿产资源种类繁多</w:t>
      </w:r>
    </w:p>
    <w:p w14:paraId="4EF28077">
      <w:pPr>
        <w:pStyle w:val="22"/>
        <w:ind w:firstLine="640"/>
        <w:rPr>
          <w:shd w:val="clear" w:color="auto" w:fill="auto"/>
        </w:rPr>
      </w:pPr>
      <w:r>
        <w:rPr>
          <w:rFonts w:hint="eastAsia"/>
          <w:shd w:val="clear" w:color="auto" w:fill="auto"/>
        </w:rPr>
        <w:t>镇安县矿产资源丰富，目前发现矿种36种，已初步探明具有开采价值的金、银、铜、铁、铅、锌、锰、锑等金属矿14种，石灰石、滑石、大理石、花岗岩、重晶石、白云石等非金属矿19种。其中黄金储量60吨，铅锌矿储量40万吨，石灰石C+D级储量4.5亿吨。</w:t>
      </w:r>
    </w:p>
    <w:p w14:paraId="483732AA">
      <w:pPr>
        <w:pStyle w:val="29"/>
        <w:spacing w:before="156" w:after="156"/>
        <w:ind w:firstLine="643"/>
        <w:rPr>
          <w:shd w:val="clear" w:color="auto" w:fill="auto"/>
        </w:rPr>
      </w:pPr>
      <w:r>
        <w:rPr>
          <w:rFonts w:hint="eastAsia"/>
          <w:shd w:val="clear" w:color="auto" w:fill="auto"/>
        </w:rPr>
        <w:t>（五）文化旅游资源丰富</w:t>
      </w:r>
    </w:p>
    <w:p w14:paraId="089F9102">
      <w:pPr>
        <w:pStyle w:val="22"/>
        <w:ind w:firstLine="640"/>
        <w:rPr>
          <w:shd w:val="clear" w:color="auto" w:fill="auto"/>
        </w:rPr>
      </w:pPr>
      <w:r>
        <w:rPr>
          <w:rFonts w:hint="eastAsia"/>
          <w:shd w:val="clear" w:color="auto" w:fill="auto"/>
        </w:rPr>
        <w:t>镇安县文化底蕴丰厚，拥有非物质文化遗产镇安花鼓、渔鼓等民俗文化资源及塔云山、云盖寺古镇、唐兴隆寺等丰富历史文化遗产，被国家文化部命名为“中国民间艺术之乡</w:t>
      </w:r>
      <w:r>
        <w:rPr>
          <w:rFonts w:hint="eastAsia"/>
          <w:shd w:val="clear" w:color="auto" w:fill="auto"/>
          <w:lang w:eastAsia="zh-CN"/>
        </w:rPr>
        <w:t>”“</w:t>
      </w:r>
      <w:r>
        <w:rPr>
          <w:rFonts w:hint="eastAsia"/>
          <w:shd w:val="clear" w:color="auto" w:fill="auto"/>
        </w:rPr>
        <w:t>中国花鼓之乡”。全域旅游资源丰富多样，有3个国家</w:t>
      </w:r>
      <w:r>
        <w:rPr>
          <w:shd w:val="clear" w:color="auto" w:fill="auto"/>
        </w:rPr>
        <w:t>4A</w:t>
      </w:r>
      <w:r>
        <w:rPr>
          <w:rFonts w:hint="eastAsia"/>
          <w:shd w:val="clear" w:color="auto" w:fill="auto"/>
        </w:rPr>
        <w:t>级景区、</w:t>
      </w:r>
      <w:r>
        <w:rPr>
          <w:shd w:val="clear" w:color="auto" w:fill="auto"/>
        </w:rPr>
        <w:t>2</w:t>
      </w:r>
      <w:r>
        <w:rPr>
          <w:rFonts w:hint="eastAsia"/>
          <w:shd w:val="clear" w:color="auto" w:fill="auto"/>
        </w:rPr>
        <w:t>个国家</w:t>
      </w:r>
      <w:r>
        <w:rPr>
          <w:shd w:val="clear" w:color="auto" w:fill="auto"/>
        </w:rPr>
        <w:t>3A</w:t>
      </w:r>
      <w:r>
        <w:rPr>
          <w:rFonts w:hint="eastAsia"/>
          <w:shd w:val="clear" w:color="auto" w:fill="auto"/>
        </w:rPr>
        <w:t>级景区及木王省级旅游度假区，密境金台、仙境塔云、佳境云盖、画境木王、幻境磨石，“五境镇安”全域旅游格局基本形成。</w:t>
      </w:r>
    </w:p>
    <w:p w14:paraId="6C8AA6C2">
      <w:pPr>
        <w:pStyle w:val="32"/>
        <w:spacing w:before="156" w:after="156"/>
        <w:ind w:firstLine="640"/>
        <w:rPr>
          <w:shd w:val="clear" w:color="auto" w:fill="auto"/>
        </w:rPr>
      </w:pPr>
      <w:bookmarkStart w:id="3" w:name="_Toc59298921"/>
      <w:r>
        <w:rPr>
          <w:shd w:val="clear" w:color="auto" w:fill="auto"/>
        </w:rPr>
        <w:t>三</w:t>
      </w:r>
      <w:r>
        <w:rPr>
          <w:rFonts w:hint="eastAsia"/>
          <w:shd w:val="clear" w:color="auto" w:fill="auto"/>
        </w:rPr>
        <w:t>、</w:t>
      </w:r>
      <w:r>
        <w:rPr>
          <w:shd w:val="clear" w:color="auto" w:fill="auto"/>
        </w:rPr>
        <w:t>工作成效</w:t>
      </w:r>
      <w:bookmarkEnd w:id="3"/>
    </w:p>
    <w:p w14:paraId="1E2C40B0">
      <w:pPr>
        <w:pStyle w:val="29"/>
        <w:spacing w:before="156" w:after="156"/>
        <w:ind w:firstLine="643"/>
        <w:rPr>
          <w:shd w:val="clear" w:color="auto" w:fill="auto"/>
        </w:rPr>
      </w:pPr>
      <w:r>
        <w:rPr>
          <w:rFonts w:hint="eastAsia"/>
          <w:shd w:val="clear" w:color="auto" w:fill="auto"/>
        </w:rPr>
        <w:t>（一）突出问题整治成效明显</w:t>
      </w:r>
    </w:p>
    <w:p w14:paraId="22BA5C1B">
      <w:pPr>
        <w:pStyle w:val="22"/>
        <w:ind w:firstLine="640"/>
        <w:rPr>
          <w:shd w:val="clear" w:color="auto" w:fill="auto"/>
        </w:rPr>
      </w:pPr>
      <w:r>
        <w:rPr>
          <w:rFonts w:hint="eastAsia"/>
          <w:shd w:val="clear" w:color="auto" w:fill="auto"/>
        </w:rPr>
        <w:t>近年来，全县重点围绕“五乱”整治、中省</w:t>
      </w:r>
      <w:r>
        <w:rPr>
          <w:rFonts w:hint="eastAsia"/>
          <w:shd w:val="clear" w:color="auto" w:fill="auto"/>
          <w:lang w:eastAsia="zh-CN"/>
        </w:rPr>
        <w:t>环保督察</w:t>
      </w:r>
      <w:r>
        <w:rPr>
          <w:rFonts w:hint="eastAsia"/>
          <w:shd w:val="clear" w:color="auto" w:fill="auto"/>
        </w:rPr>
        <w:t>、省委专项巡视、省市秦岭生态环境保护“回头看”反馈发现等问题，坚持标本兼治，全力推进问题整治。截止2</w:t>
      </w:r>
      <w:r>
        <w:rPr>
          <w:shd w:val="clear" w:color="auto" w:fill="auto"/>
        </w:rPr>
        <w:t>019年</w:t>
      </w:r>
      <w:r>
        <w:rPr>
          <w:rFonts w:hint="eastAsia"/>
          <w:shd w:val="clear" w:color="auto" w:fill="auto"/>
        </w:rPr>
        <w:t>，秦岭专项整治期间排查的95个“五乱”问题已全部整改到位；中省第一轮环保督察交办22件信访件已整改到位，反馈33个共性问题已整改到位，销号2</w:t>
      </w:r>
      <w:r>
        <w:rPr>
          <w:shd w:val="clear" w:color="auto" w:fill="auto"/>
        </w:rPr>
        <w:t>8个</w:t>
      </w:r>
      <w:r>
        <w:rPr>
          <w:rFonts w:hint="eastAsia"/>
          <w:shd w:val="clear" w:color="auto" w:fill="auto"/>
        </w:rPr>
        <w:t>；中央第一轮环保督察“回头看”交办14件信访件已全部整改到位，反馈的9个共性问题已销号</w:t>
      </w:r>
      <w:r>
        <w:rPr>
          <w:shd w:val="clear" w:color="auto" w:fill="auto"/>
        </w:rPr>
        <w:t>7</w:t>
      </w:r>
      <w:r>
        <w:rPr>
          <w:rFonts w:hint="eastAsia"/>
          <w:shd w:val="clear" w:color="auto" w:fill="auto"/>
        </w:rPr>
        <w:t>个，其余</w:t>
      </w:r>
      <w:r>
        <w:rPr>
          <w:shd w:val="clear" w:color="auto" w:fill="auto"/>
        </w:rPr>
        <w:t>2</w:t>
      </w:r>
      <w:r>
        <w:rPr>
          <w:rFonts w:hint="eastAsia"/>
          <w:shd w:val="clear" w:color="auto" w:fill="auto"/>
        </w:rPr>
        <w:t>个问题正在按时序进行销号；省委第十巡视组反馈的36个问题，已整改到位16个，其他20个问题已取得阶段性成效。</w:t>
      </w:r>
    </w:p>
    <w:p w14:paraId="626C4C2D">
      <w:pPr>
        <w:pStyle w:val="29"/>
        <w:spacing w:before="156" w:after="156"/>
        <w:ind w:firstLine="643"/>
        <w:rPr>
          <w:shd w:val="clear" w:color="auto" w:fill="auto"/>
        </w:rPr>
      </w:pPr>
      <w:r>
        <w:rPr>
          <w:rFonts w:hint="eastAsia"/>
          <w:shd w:val="clear" w:color="auto" w:fill="auto"/>
        </w:rPr>
        <w:t>（二）生态环境质量显著提升</w:t>
      </w:r>
    </w:p>
    <w:p w14:paraId="6FB3486A">
      <w:pPr>
        <w:pStyle w:val="22"/>
        <w:ind w:firstLine="640"/>
        <w:rPr>
          <w:shd w:val="clear" w:color="auto" w:fill="auto"/>
        </w:rPr>
      </w:pPr>
      <w:r>
        <w:rPr>
          <w:shd w:val="clear" w:color="auto" w:fill="auto"/>
        </w:rPr>
        <w:t>近年来</w:t>
      </w:r>
      <w:r>
        <w:rPr>
          <w:rFonts w:hint="eastAsia"/>
          <w:shd w:val="clear" w:color="auto" w:fill="auto"/>
        </w:rPr>
        <w:t>，</w:t>
      </w:r>
      <w:r>
        <w:rPr>
          <w:shd w:val="clear" w:color="auto" w:fill="auto"/>
        </w:rPr>
        <w:t>全县紧紧</w:t>
      </w:r>
      <w:r>
        <w:rPr>
          <w:rFonts w:hint="eastAsia"/>
          <w:shd w:val="clear" w:color="auto" w:fill="auto"/>
        </w:rPr>
        <w:t>围绕“生态立县”战略，</w:t>
      </w:r>
      <w:r>
        <w:rPr>
          <w:shd w:val="clear" w:color="auto" w:fill="auto"/>
        </w:rPr>
        <w:t>以</w:t>
      </w:r>
      <w:r>
        <w:rPr>
          <w:rFonts w:hint="eastAsia"/>
          <w:shd w:val="clear" w:color="auto" w:fill="auto"/>
        </w:rPr>
        <w:t>“蓝天、碧水、青山、净土”四大保卫战为重点，以“春雷</w:t>
      </w:r>
      <w:r>
        <w:rPr>
          <w:rFonts w:hint="eastAsia"/>
          <w:shd w:val="clear" w:color="auto" w:fill="auto"/>
          <w:lang w:eastAsia="zh-CN"/>
        </w:rPr>
        <w:t>”“</w:t>
      </w:r>
      <w:r>
        <w:rPr>
          <w:rFonts w:hint="eastAsia"/>
          <w:shd w:val="clear" w:color="auto" w:fill="auto"/>
        </w:rPr>
        <w:t>绿盾</w:t>
      </w:r>
      <w:r>
        <w:rPr>
          <w:rFonts w:hint="eastAsia"/>
          <w:shd w:val="clear" w:color="auto" w:fill="auto"/>
          <w:lang w:eastAsia="zh-CN"/>
        </w:rPr>
        <w:t>”“</w:t>
      </w:r>
      <w:r>
        <w:rPr>
          <w:rFonts w:hint="eastAsia"/>
          <w:shd w:val="clear" w:color="auto" w:fill="auto"/>
        </w:rPr>
        <w:t>利剑行动</w:t>
      </w:r>
      <w:r>
        <w:rPr>
          <w:rFonts w:hint="eastAsia"/>
          <w:shd w:val="clear" w:color="auto" w:fill="auto"/>
          <w:lang w:eastAsia="zh-CN"/>
        </w:rPr>
        <w:t>”“</w:t>
      </w:r>
      <w:r>
        <w:rPr>
          <w:rFonts w:hint="eastAsia"/>
          <w:shd w:val="clear" w:color="auto" w:fill="auto"/>
        </w:rPr>
        <w:t>清四乱”等专项行动为支撑，不断拓展林业发展空间，全面强化水源保护。</w:t>
      </w:r>
      <w:r>
        <w:rPr>
          <w:shd w:val="clear" w:color="auto" w:fill="auto"/>
        </w:rPr>
        <w:t>截止</w:t>
      </w:r>
      <w:r>
        <w:rPr>
          <w:rFonts w:hint="eastAsia"/>
          <w:shd w:val="clear" w:color="auto" w:fill="auto"/>
        </w:rPr>
        <w:t>2</w:t>
      </w:r>
      <w:r>
        <w:rPr>
          <w:shd w:val="clear" w:color="auto" w:fill="auto"/>
        </w:rPr>
        <w:t>019年</w:t>
      </w:r>
      <w:r>
        <w:rPr>
          <w:rFonts w:hint="eastAsia"/>
          <w:shd w:val="clear" w:color="auto" w:fill="auto"/>
        </w:rPr>
        <w:t>，全县累计造林绿化25.2万亩，森林覆盖率达到68.</w:t>
      </w:r>
      <w:r>
        <w:rPr>
          <w:shd w:val="clear" w:color="auto" w:fill="auto"/>
        </w:rPr>
        <w:t>56</w:t>
      </w:r>
      <w:r>
        <w:rPr>
          <w:rFonts w:hint="eastAsia"/>
          <w:shd w:val="clear" w:color="auto" w:fill="auto"/>
        </w:rPr>
        <w:t>%，森林蓄积量达到1</w:t>
      </w:r>
      <w:r>
        <w:rPr>
          <w:shd w:val="clear" w:color="auto" w:fill="auto"/>
        </w:rPr>
        <w:t>470万立方米</w:t>
      </w:r>
      <w:r>
        <w:rPr>
          <w:rFonts w:hint="eastAsia"/>
          <w:shd w:val="clear" w:color="auto" w:fill="auto"/>
        </w:rPr>
        <w:t>，森林火灾受害率、林业有害生物成灾率分别控制在0.2</w:t>
      </w:r>
      <w:r>
        <w:rPr>
          <w:rFonts w:cs="Times New Roman"/>
          <w:shd w:val="clear" w:color="auto" w:fill="auto"/>
        </w:rPr>
        <w:t>‰</w:t>
      </w:r>
      <w:r>
        <w:rPr>
          <w:rFonts w:hint="eastAsia"/>
          <w:shd w:val="clear" w:color="auto" w:fill="auto"/>
        </w:rPr>
        <w:t>和4.8</w:t>
      </w:r>
      <w:r>
        <w:rPr>
          <w:rFonts w:cs="Times New Roman"/>
          <w:shd w:val="clear" w:color="auto" w:fill="auto"/>
        </w:rPr>
        <w:t>‰</w:t>
      </w:r>
      <w:r>
        <w:rPr>
          <w:rFonts w:hint="eastAsia"/>
          <w:shd w:val="clear" w:color="auto" w:fill="auto"/>
        </w:rPr>
        <w:t>以内；县城区集中式饮用水水源地、地表水水质和出境断面（乾佑河、旬河、唐家河）水质监测结果达标率为1</w:t>
      </w:r>
      <w:r>
        <w:rPr>
          <w:shd w:val="clear" w:color="auto" w:fill="auto"/>
        </w:rPr>
        <w:t>00</w:t>
      </w:r>
      <w:r>
        <w:rPr>
          <w:rFonts w:hint="eastAsia"/>
          <w:shd w:val="clear" w:color="auto" w:fill="auto"/>
        </w:rPr>
        <w:t>%，</w:t>
      </w:r>
      <w:r>
        <w:rPr>
          <w:shd w:val="clear" w:color="auto" w:fill="auto"/>
        </w:rPr>
        <w:t>均达到</w:t>
      </w:r>
      <w:r>
        <w:rPr>
          <w:rFonts w:hint="eastAsia"/>
          <w:shd w:val="clear" w:color="auto" w:fill="auto"/>
        </w:rPr>
        <w:t>《地表水环境质量》II类标准要求；城区空气质量优良天数达到347天，连续三年位居全市第一。</w:t>
      </w:r>
    </w:p>
    <w:p w14:paraId="4BEE0431">
      <w:pPr>
        <w:pStyle w:val="29"/>
        <w:spacing w:before="156" w:after="156"/>
        <w:ind w:firstLine="643"/>
        <w:rPr>
          <w:shd w:val="clear" w:color="auto" w:fill="auto"/>
        </w:rPr>
      </w:pPr>
      <w:r>
        <w:rPr>
          <w:rFonts w:hint="eastAsia"/>
          <w:shd w:val="clear" w:color="auto" w:fill="auto"/>
        </w:rPr>
        <w:t>（三）绿色发展步伐不断加快</w:t>
      </w:r>
    </w:p>
    <w:p w14:paraId="0523A50B">
      <w:pPr>
        <w:pStyle w:val="22"/>
        <w:ind w:firstLine="640"/>
        <w:rPr>
          <w:shd w:val="clear" w:color="auto" w:fill="auto"/>
        </w:rPr>
      </w:pPr>
      <w:r>
        <w:rPr>
          <w:rFonts w:hint="eastAsia"/>
          <w:shd w:val="clear" w:color="auto" w:fill="auto"/>
        </w:rPr>
        <w:t>近年来，全县上下紧扣“文化旅游名县，资源循环强县，高山农产大县”发展定位，持续推进“大健康、大旅游、新能源、新材料”产业发展，不断完善创新驱动支撑体系，多点支撑、多元发展的循环产业体系加快形成。</w:t>
      </w:r>
      <w:r>
        <w:rPr>
          <w:shd w:val="clear" w:color="auto" w:fill="auto"/>
        </w:rPr>
        <w:t>截止</w:t>
      </w:r>
      <w:r>
        <w:rPr>
          <w:rFonts w:hint="eastAsia"/>
          <w:shd w:val="clear" w:color="auto" w:fill="auto"/>
        </w:rPr>
        <w:t>2</w:t>
      </w:r>
      <w:r>
        <w:rPr>
          <w:shd w:val="clear" w:color="auto" w:fill="auto"/>
        </w:rPr>
        <w:t>019年</w:t>
      </w:r>
      <w:r>
        <w:rPr>
          <w:rFonts w:hint="eastAsia"/>
          <w:shd w:val="clear" w:color="auto" w:fill="auto"/>
        </w:rPr>
        <w:t>，成功创建国家</w:t>
      </w:r>
      <w:r>
        <w:rPr>
          <w:shd w:val="clear" w:color="auto" w:fill="auto"/>
        </w:rPr>
        <w:t>4A</w:t>
      </w:r>
      <w:r>
        <w:rPr>
          <w:rFonts w:hint="eastAsia"/>
          <w:shd w:val="clear" w:color="auto" w:fill="auto"/>
        </w:rPr>
        <w:t>级旅游景区</w:t>
      </w:r>
      <w:r>
        <w:rPr>
          <w:shd w:val="clear" w:color="auto" w:fill="auto"/>
        </w:rPr>
        <w:t>3</w:t>
      </w:r>
      <w:r>
        <w:rPr>
          <w:rFonts w:hint="eastAsia"/>
          <w:shd w:val="clear" w:color="auto" w:fill="auto"/>
        </w:rPr>
        <w:t>个，服务业增加值占GDP比重达到</w:t>
      </w:r>
      <w:r>
        <w:rPr>
          <w:shd w:val="clear" w:color="auto" w:fill="auto"/>
        </w:rPr>
        <w:t>39.2</w:t>
      </w:r>
      <w:r>
        <w:rPr>
          <w:rFonts w:hint="eastAsia"/>
          <w:shd w:val="clear" w:color="auto" w:fill="auto"/>
        </w:rPr>
        <w:t>%，研究与试验发展经费支出占生产总值的比重达到</w:t>
      </w:r>
      <w:r>
        <w:rPr>
          <w:shd w:val="clear" w:color="auto" w:fill="auto"/>
        </w:rPr>
        <w:t>0.2</w:t>
      </w:r>
      <w:r>
        <w:rPr>
          <w:rFonts w:hint="eastAsia"/>
          <w:shd w:val="clear" w:color="auto" w:fill="auto"/>
        </w:rPr>
        <w:t>%以上，单位生产总值能耗降低率为</w:t>
      </w:r>
      <w:r>
        <w:rPr>
          <w:shd w:val="clear" w:color="auto" w:fill="auto"/>
        </w:rPr>
        <w:t>6.13</w:t>
      </w:r>
      <w:r>
        <w:rPr>
          <w:rFonts w:hint="eastAsia"/>
          <w:shd w:val="clear" w:color="auto" w:fill="auto"/>
        </w:rPr>
        <w:t>%。</w:t>
      </w:r>
    </w:p>
    <w:p w14:paraId="437F5749">
      <w:pPr>
        <w:pStyle w:val="29"/>
        <w:spacing w:before="156" w:after="156"/>
        <w:ind w:firstLine="643"/>
        <w:rPr>
          <w:shd w:val="clear" w:color="auto" w:fill="auto"/>
        </w:rPr>
      </w:pPr>
      <w:r>
        <w:rPr>
          <w:rFonts w:hint="eastAsia"/>
          <w:shd w:val="clear" w:color="auto" w:fill="auto"/>
        </w:rPr>
        <w:t>（四）长效保护机制建立健全</w:t>
      </w:r>
    </w:p>
    <w:p w14:paraId="07445F85">
      <w:pPr>
        <w:pStyle w:val="22"/>
        <w:ind w:firstLine="640"/>
        <w:rPr>
          <w:shd w:val="clear" w:color="auto" w:fill="auto"/>
        </w:rPr>
      </w:pPr>
      <w:r>
        <w:rPr>
          <w:rFonts w:hint="eastAsia"/>
          <w:shd w:val="clear" w:color="auto" w:fill="auto"/>
        </w:rPr>
        <w:t>建立了秦岭生态环境保护联席会议制度，实行专项整治工作日报告、周报告、问题销号管理等。印发了《镇安县推进秦岭生态环境保护长效机制建设实施方案》、《镇安县全面加强秦岭生态环境保护工作十五条措施任务分解方案》、《镇安县秦岭生态环境保护专项工作方案》、《镇安县秦岭生态环境保护网格化管理实施方案》等文件，对各类破坏秦岭生态环境的行为，做到及时发现、及时制止、及时整改、及时报告。印发了《关于调整镇安县秦岭生态环境保护委员会组成人员的通知》、《生态环境保护“一票否决”暂行办法》等文件，进一步强化秦岭生态环境保护工作组织领导，形成了秦岭生态环境保护党政齐抓、上下联动、协同发力的保护格局。</w:t>
      </w:r>
    </w:p>
    <w:p w14:paraId="6511162E">
      <w:pPr>
        <w:pStyle w:val="32"/>
        <w:spacing w:before="156" w:after="156"/>
        <w:ind w:firstLine="640"/>
        <w:rPr>
          <w:shd w:val="clear" w:color="auto" w:fill="auto"/>
        </w:rPr>
      </w:pPr>
      <w:bookmarkStart w:id="4" w:name="_Toc59298922"/>
      <w:r>
        <w:rPr>
          <w:shd w:val="clear" w:color="auto" w:fill="auto"/>
        </w:rPr>
        <w:t>四</w:t>
      </w:r>
      <w:r>
        <w:rPr>
          <w:rFonts w:hint="eastAsia"/>
          <w:shd w:val="clear" w:color="auto" w:fill="auto"/>
        </w:rPr>
        <w:t>、问题与机遇</w:t>
      </w:r>
      <w:bookmarkEnd w:id="4"/>
    </w:p>
    <w:p w14:paraId="6A70A7BA">
      <w:pPr>
        <w:pStyle w:val="29"/>
        <w:spacing w:before="156" w:after="156"/>
        <w:ind w:firstLine="643"/>
        <w:rPr>
          <w:shd w:val="clear" w:color="auto" w:fill="auto"/>
        </w:rPr>
      </w:pPr>
      <w:r>
        <w:rPr>
          <w:rFonts w:hint="eastAsia"/>
          <w:shd w:val="clear" w:color="auto" w:fill="auto"/>
        </w:rPr>
        <w:t>（一）存在问题</w:t>
      </w:r>
    </w:p>
    <w:p w14:paraId="34E97CBF">
      <w:pPr>
        <w:pStyle w:val="22"/>
        <w:ind w:firstLine="643"/>
        <w:rPr>
          <w:shd w:val="clear" w:color="auto" w:fill="auto"/>
        </w:rPr>
      </w:pPr>
      <w:r>
        <w:rPr>
          <w:rFonts w:hint="eastAsia"/>
          <w:b/>
          <w:shd w:val="clear" w:color="auto" w:fill="auto"/>
        </w:rPr>
        <w:t>秦岭区域生态环境保护资金投入不足。</w:t>
      </w:r>
      <w:r>
        <w:rPr>
          <w:rFonts w:hint="eastAsia"/>
          <w:shd w:val="clear" w:color="auto" w:fill="auto"/>
        </w:rPr>
        <w:t>镇安县属于贫困县，虽然2</w:t>
      </w:r>
      <w:r>
        <w:rPr>
          <w:shd w:val="clear" w:color="auto" w:fill="auto"/>
        </w:rPr>
        <w:t>018年</w:t>
      </w:r>
      <w:r>
        <w:rPr>
          <w:rFonts w:hint="eastAsia"/>
          <w:shd w:val="clear" w:color="auto" w:fill="auto"/>
        </w:rPr>
        <w:t>已经脱贫摘帽，但是发展基础依然比较薄弱，日常生产和生活对自然资源的依赖程度较大，导致生态保护与开发建设需求资源保有量矛盾突出，在生态优先、保护优先的前提下，加快发展压力较大。</w:t>
      </w:r>
    </w:p>
    <w:p w14:paraId="037CF87A">
      <w:pPr>
        <w:pStyle w:val="22"/>
        <w:ind w:firstLine="643"/>
        <w:rPr>
          <w:shd w:val="clear" w:color="auto" w:fill="auto"/>
        </w:rPr>
      </w:pPr>
      <w:r>
        <w:rPr>
          <w:rFonts w:hint="eastAsia"/>
          <w:b/>
          <w:shd w:val="clear" w:color="auto" w:fill="auto"/>
        </w:rPr>
        <w:t>秦岭“五乱”整治还需加大力度。</w:t>
      </w:r>
      <w:r>
        <w:rPr>
          <w:rFonts w:hint="eastAsia"/>
          <w:shd w:val="clear" w:color="auto" w:fill="auto"/>
        </w:rPr>
        <w:t>虽然对旬河、月河沿线居住的部分群众在河岸两边乱搭乱建、乱采乱挖等“五乱”问题开展了专项整治，但是还存在无证或证照不全非法生产、违法采石采矿、生态环境恢复治理措施落实不到位等问题。农村畜禽粪便露天堆放、化肥农药滥用、生活污水垃圾乱排乱倒等面源污染问题依然存在，人居环境“脏、乱、差”的问题还没有</w:t>
      </w:r>
      <w:r>
        <w:rPr>
          <w:rFonts w:hint="eastAsia"/>
          <w:shd w:val="clear" w:color="auto" w:fill="auto"/>
          <w:lang w:eastAsia="zh-CN"/>
        </w:rPr>
        <w:t>根治</w:t>
      </w:r>
      <w:r>
        <w:rPr>
          <w:rFonts w:hint="eastAsia"/>
          <w:shd w:val="clear" w:color="auto" w:fill="auto"/>
        </w:rPr>
        <w:t>。</w:t>
      </w:r>
    </w:p>
    <w:p w14:paraId="190D31F4">
      <w:pPr>
        <w:pStyle w:val="22"/>
        <w:ind w:firstLine="643"/>
        <w:rPr>
          <w:shd w:val="clear" w:color="auto" w:fill="auto"/>
        </w:rPr>
      </w:pPr>
      <w:r>
        <w:rPr>
          <w:rFonts w:hint="eastAsia"/>
          <w:b/>
          <w:shd w:val="clear" w:color="auto" w:fill="auto"/>
        </w:rPr>
        <w:t>秦岭生态环境保护体制机制有待进一步健全。</w:t>
      </w:r>
      <w:r>
        <w:rPr>
          <w:rFonts w:hint="eastAsia"/>
          <w:shd w:val="clear" w:color="auto" w:fill="auto"/>
        </w:rPr>
        <w:t>虽然建立了环境网格化管理、区域联防联控等长效保护机制，但仍存在防控体系不健全、责任落实不到位的问题，环境网格化管理与“河长制</w:t>
      </w:r>
      <w:r>
        <w:rPr>
          <w:rFonts w:hint="eastAsia"/>
          <w:shd w:val="clear" w:color="auto" w:fill="auto"/>
          <w:lang w:eastAsia="zh-CN"/>
        </w:rPr>
        <w:t>”“</w:t>
      </w:r>
      <w:r>
        <w:rPr>
          <w:rFonts w:hint="eastAsia"/>
          <w:shd w:val="clear" w:color="auto" w:fill="auto"/>
        </w:rPr>
        <w:t>田长制”结合不紧密，导致环境管控仍有漏洞、盲点。秦岭生态环境预防保护、日常监管、联合执法等机制还不够完善，秦岭生态环境保护专项考核办法、问责办法、专项资金管理暂行办法还未出台，相关部门的秦岭生态环境保护行业专项规划编制工作进展缓慢。</w:t>
      </w:r>
    </w:p>
    <w:p w14:paraId="369BE74F">
      <w:pPr>
        <w:pStyle w:val="22"/>
        <w:ind w:firstLine="643"/>
        <w:rPr>
          <w:shd w:val="clear" w:color="auto" w:fill="auto"/>
        </w:rPr>
      </w:pPr>
      <w:r>
        <w:rPr>
          <w:rFonts w:hint="eastAsia"/>
          <w:b/>
          <w:shd w:val="clear" w:color="auto" w:fill="auto"/>
        </w:rPr>
        <w:t>秦岭生态保护意识有待进一步提高。</w:t>
      </w:r>
      <w:r>
        <w:rPr>
          <w:rFonts w:hint="eastAsia"/>
          <w:shd w:val="clear" w:color="auto" w:fill="auto"/>
        </w:rPr>
        <w:t>目前秦岭生态环境保护还没有形成思想自觉和行动自觉，企业生态环境保护主体责任有待进一步落实，群众传统生活方式和消费观念尚未根本转变，节水节能、绿色消费、垃圾分类、绿色出行等行为尚未形成自觉。</w:t>
      </w:r>
    </w:p>
    <w:p w14:paraId="16058390">
      <w:pPr>
        <w:pStyle w:val="29"/>
        <w:spacing w:before="156" w:after="156"/>
        <w:ind w:firstLine="643"/>
        <w:rPr>
          <w:shd w:val="clear" w:color="auto" w:fill="auto"/>
        </w:rPr>
      </w:pPr>
      <w:r>
        <w:rPr>
          <w:rFonts w:hint="eastAsia"/>
          <w:shd w:val="clear" w:color="auto" w:fill="auto"/>
        </w:rPr>
        <w:t>（二）</w:t>
      </w:r>
      <w:r>
        <w:rPr>
          <w:shd w:val="clear" w:color="auto" w:fill="auto"/>
        </w:rPr>
        <w:t>重要机遇</w:t>
      </w:r>
    </w:p>
    <w:p w14:paraId="2A023137">
      <w:pPr>
        <w:pStyle w:val="22"/>
        <w:ind w:firstLine="643"/>
        <w:rPr>
          <w:shd w:val="clear" w:color="auto" w:fill="auto"/>
        </w:rPr>
      </w:pPr>
      <w:r>
        <w:rPr>
          <w:rFonts w:hint="eastAsia"/>
          <w:b/>
          <w:shd w:val="clear" w:color="auto" w:fill="auto"/>
        </w:rPr>
        <w:t>习近平总书记高度重视生态文明建设。</w:t>
      </w:r>
      <w:r>
        <w:rPr>
          <w:rFonts w:hint="eastAsia"/>
          <w:shd w:val="clear" w:color="auto" w:fill="auto"/>
        </w:rPr>
        <w:t>习近平总书记反复强调生态兴则文明兴，生态衰则文明衰，提出坚持人与自然和谐共生、绿水青山就是金山银山、良好生态环境是最普惠的民生福祉、山水林田湖草是生命共同体等一系列新理念新思想新战略，推动生态环境保护发生了历史性、转折性、全局性变化。特别是习近平总书记对秦岭生态环境保护高度重视，多次作出重要指示批示，要求我们履行好职责，当好秦岭生态卫士，让秦岭的美景永驻、青山常在、绿水长流，持之以恒地有效地加以保护，为秦岭生态环境保护提供了根本遵循。</w:t>
      </w:r>
    </w:p>
    <w:p w14:paraId="39B27A28">
      <w:pPr>
        <w:pStyle w:val="22"/>
        <w:ind w:firstLine="643"/>
        <w:rPr>
          <w:shd w:val="clear" w:color="auto" w:fill="auto"/>
        </w:rPr>
      </w:pPr>
      <w:r>
        <w:rPr>
          <w:rFonts w:hint="eastAsia"/>
          <w:b/>
          <w:shd w:val="clear" w:color="auto" w:fill="auto"/>
        </w:rPr>
        <w:t>党中央、国务院对生态文明建设作出的战略部署。</w:t>
      </w:r>
      <w:r>
        <w:rPr>
          <w:rFonts w:hint="eastAsia"/>
          <w:shd w:val="clear" w:color="auto" w:fill="auto"/>
        </w:rPr>
        <w:t>党的十八大以来，以习近平同志为核心的党中央，深刻总结人类文明发展规律，将生态文明建设纳入中国特色社会主义“五位一体”总体布局和“四个全面”战略布局。新时代推进西部大开发形成新格局、黄河流域生态保护和高质量发展、推动长江经济带高质量发展、全国重要生态系统保护和修复重大工程总体规划等国家战略均把秦岭作为重要区域，为加强秦岭生态环境保护工作提供了战略机遇。</w:t>
      </w:r>
    </w:p>
    <w:p w14:paraId="50CD777F">
      <w:pPr>
        <w:pStyle w:val="22"/>
        <w:ind w:firstLine="643"/>
        <w:rPr>
          <w:shd w:val="clear" w:color="auto" w:fill="auto"/>
        </w:rPr>
      </w:pPr>
      <w:r>
        <w:rPr>
          <w:rFonts w:hint="eastAsia"/>
          <w:b/>
          <w:shd w:val="clear" w:color="auto" w:fill="auto"/>
        </w:rPr>
        <w:t>省市不断加大秦岭生态环境保护力度。</w:t>
      </w:r>
      <w:r>
        <w:rPr>
          <w:rFonts w:hint="eastAsia"/>
          <w:shd w:val="clear" w:color="auto" w:fill="auto"/>
        </w:rPr>
        <w:t>近年来，省委、省政府深入贯彻习近平生态文明思想，全面落实党中央、国务院决策部署，严格执行《条例》，持续推进陕南绿色循环发展区域战略，积极实施天然林保护、水土保持、植被恢复、矿山环境修复治理等重大工程建设，推动秦岭生态环境质量持续好转，为加强秦岭生态环境保护提供了重要机遇。近年来，商洛市坚定不移走保护优先、生态优先、绿色发展之路，以“第一站”的追求、“第一站”的担当，全力以赴做好秦岭生态环境保护工作，为加强秦岭生态环境保护提供了现实基础。</w:t>
      </w:r>
    </w:p>
    <w:p w14:paraId="200F09D1">
      <w:pPr>
        <w:pStyle w:val="22"/>
        <w:ind w:firstLine="643"/>
        <w:rPr>
          <w:shd w:val="clear" w:color="auto" w:fill="auto"/>
        </w:rPr>
      </w:pPr>
      <w:r>
        <w:rPr>
          <w:rFonts w:hint="eastAsia"/>
          <w:b/>
          <w:shd w:val="clear" w:color="auto" w:fill="auto"/>
        </w:rPr>
        <w:t>县委、县政府始终坚持“生态立县”战略。</w:t>
      </w:r>
      <w:r>
        <w:rPr>
          <w:shd w:val="clear" w:color="auto" w:fill="auto"/>
        </w:rPr>
        <w:t>近年来</w:t>
      </w:r>
      <w:r>
        <w:rPr>
          <w:rFonts w:hint="eastAsia"/>
          <w:shd w:val="clear" w:color="auto" w:fill="auto"/>
        </w:rPr>
        <w:t>，全县始终坚持“生态立县”战略，牢固树立“绿水青山就是金山银山”的发展理念，以</w:t>
      </w:r>
      <w:r>
        <w:rPr>
          <w:shd w:val="clear" w:color="auto" w:fill="auto"/>
        </w:rPr>
        <w:t>中省</w:t>
      </w:r>
      <w:r>
        <w:rPr>
          <w:rFonts w:hint="eastAsia"/>
          <w:shd w:val="clear" w:color="auto" w:fill="auto"/>
          <w:lang w:eastAsia="zh-CN"/>
        </w:rPr>
        <w:t>环保督察</w:t>
      </w:r>
      <w:r>
        <w:rPr>
          <w:shd w:val="clear" w:color="auto" w:fill="auto"/>
        </w:rPr>
        <w:t>反馈问题整改和秦岭生态专项整治工作</w:t>
      </w:r>
      <w:r>
        <w:rPr>
          <w:rFonts w:hint="eastAsia"/>
          <w:shd w:val="clear" w:color="auto" w:fill="auto"/>
        </w:rPr>
        <w:t>为核心，以</w:t>
      </w:r>
      <w:r>
        <w:rPr>
          <w:shd w:val="clear" w:color="auto" w:fill="auto"/>
        </w:rPr>
        <w:t>丹江流域水污染防治四年行动计划</w:t>
      </w:r>
      <w:r>
        <w:rPr>
          <w:rFonts w:hint="eastAsia"/>
          <w:shd w:val="clear" w:color="auto" w:fill="auto"/>
        </w:rPr>
        <w:t>、“蓝天、碧水、青山、净土”四大保卫战为重点，大力实施畜禽养殖污染治理、饮用水水源保护、城乡环保基础设施建设、人居环境整治等重点工程，生态环境质量持续向好，为进一步加强秦岭生态环境保护提供了基本保证。</w:t>
      </w:r>
    </w:p>
    <w:p w14:paraId="02647F66">
      <w:pPr>
        <w:pStyle w:val="22"/>
        <w:ind w:firstLine="643"/>
        <w:rPr>
          <w:shd w:val="clear" w:color="auto" w:fill="auto"/>
        </w:rPr>
      </w:pPr>
      <w:r>
        <w:rPr>
          <w:rFonts w:hint="eastAsia"/>
          <w:b/>
          <w:shd w:val="clear" w:color="auto" w:fill="auto"/>
        </w:rPr>
        <w:t>绿色发展成为镇安实现“弯道超车”的必然选择。</w:t>
      </w:r>
      <w:r>
        <w:rPr>
          <w:rFonts w:hint="eastAsia"/>
          <w:shd w:val="clear" w:color="auto" w:fill="auto"/>
        </w:rPr>
        <w:t>绿色发展是党的十八大报告中提出建设美丽中国的重要内容，</w:t>
      </w:r>
      <w:r>
        <w:rPr>
          <w:rFonts w:hint="eastAsia"/>
          <w:shd w:val="clear" w:color="auto" w:fill="auto"/>
          <w:lang w:eastAsia="zh-CN"/>
        </w:rPr>
        <w:t>党的十九大报告</w:t>
      </w:r>
      <w:r>
        <w:rPr>
          <w:rFonts w:hint="eastAsia"/>
          <w:shd w:val="clear" w:color="auto" w:fill="auto"/>
        </w:rPr>
        <w:t>将绿色发展纳为生态文明建设的一个重要内容，并上升到了一个新的高度。近年来，镇安县以习近平新时代中国特色社会主义思想为指导，以脱贫攻坚统揽经济社会发展全局，深入贯彻“五位一体”发展新理念，大力发展高山绿色农业、生态旅游业，深入实施尾矿资源综合利用、节能技改等项目，不断加强绿色科技创新，为加快绿色高质量发展、实现“弯道超车”奠定最坚实的基础。</w:t>
      </w:r>
    </w:p>
    <w:p w14:paraId="64782CB7">
      <w:pPr>
        <w:pStyle w:val="22"/>
        <w:ind w:firstLine="640"/>
        <w:rPr>
          <w:shd w:val="clear" w:color="auto" w:fill="auto"/>
        </w:rPr>
      </w:pPr>
    </w:p>
    <w:p w14:paraId="71585F51">
      <w:pPr>
        <w:pStyle w:val="22"/>
        <w:ind w:firstLine="640"/>
        <w:rPr>
          <w:shd w:val="clear" w:color="auto" w:fill="auto"/>
        </w:rPr>
        <w:sectPr>
          <w:pgSz w:w="11906" w:h="16838"/>
          <w:pgMar w:top="1531" w:right="1531" w:bottom="1418" w:left="1531" w:header="851" w:footer="992" w:gutter="0"/>
          <w:pgNumType w:fmt="numberInDash" w:start="3"/>
          <w:cols w:space="425" w:num="1"/>
          <w:docGrid w:type="lines" w:linePitch="312" w:charSpace="0"/>
        </w:sectPr>
      </w:pPr>
    </w:p>
    <w:p w14:paraId="5AEBAFFB">
      <w:pPr>
        <w:pStyle w:val="26"/>
        <w:spacing w:before="312" w:after="312"/>
        <w:rPr>
          <w:shd w:val="clear" w:color="auto" w:fill="auto"/>
        </w:rPr>
      </w:pPr>
      <w:bookmarkStart w:id="5" w:name="_Toc59298923"/>
      <w:r>
        <w:rPr>
          <w:shd w:val="clear" w:color="auto" w:fill="auto"/>
        </w:rPr>
        <w:t>第</w:t>
      </w:r>
      <w:r>
        <w:rPr>
          <w:rFonts w:hint="eastAsia"/>
          <w:shd w:val="clear" w:color="auto" w:fill="auto"/>
        </w:rPr>
        <w:t>二</w:t>
      </w:r>
      <w:r>
        <w:rPr>
          <w:shd w:val="clear" w:color="auto" w:fill="auto"/>
        </w:rPr>
        <w:t>章</w:t>
      </w:r>
      <w:r>
        <w:rPr>
          <w:rFonts w:hint="eastAsia"/>
          <w:shd w:val="clear" w:color="auto" w:fill="auto"/>
        </w:rPr>
        <w:t xml:space="preserve"> </w:t>
      </w:r>
      <w:r>
        <w:rPr>
          <w:shd w:val="clear" w:color="auto" w:fill="auto"/>
        </w:rPr>
        <w:t xml:space="preserve"> 总体要求</w:t>
      </w:r>
      <w:bookmarkEnd w:id="5"/>
    </w:p>
    <w:p w14:paraId="1ECB08D3">
      <w:pPr>
        <w:pStyle w:val="32"/>
        <w:spacing w:before="156" w:after="156"/>
        <w:ind w:firstLine="640"/>
        <w:rPr>
          <w:shd w:val="clear" w:color="auto" w:fill="auto"/>
        </w:rPr>
      </w:pPr>
      <w:bookmarkStart w:id="6" w:name="_Toc59298924"/>
      <w:r>
        <w:rPr>
          <w:shd w:val="clear" w:color="auto" w:fill="auto"/>
        </w:rPr>
        <w:t>一</w:t>
      </w:r>
      <w:r>
        <w:rPr>
          <w:rFonts w:hint="eastAsia"/>
          <w:shd w:val="clear" w:color="auto" w:fill="auto"/>
        </w:rPr>
        <w:t>、</w:t>
      </w:r>
      <w:r>
        <w:rPr>
          <w:shd w:val="clear" w:color="auto" w:fill="auto"/>
        </w:rPr>
        <w:t>指导思想</w:t>
      </w:r>
      <w:bookmarkEnd w:id="6"/>
    </w:p>
    <w:p w14:paraId="6E1E5BEB">
      <w:pPr>
        <w:pStyle w:val="22"/>
        <w:ind w:firstLine="640"/>
        <w:rPr>
          <w:shd w:val="clear" w:color="auto" w:fill="auto"/>
        </w:rPr>
      </w:pPr>
      <w:r>
        <w:rPr>
          <w:rFonts w:hint="eastAsia"/>
          <w:shd w:val="clear" w:color="auto" w:fill="auto"/>
        </w:rPr>
        <w:t>以习近平新时代中国特色社会主义思想为指导，全面贯彻党的十九大和十九届二中、三中、四中、五中全会精神，认真落实习近平生态文明思想，深入贯彻习近平总书记关于秦岭生态环境保护的重要讲话和重要指示批示，坚持生态立县战略，坚持新发展理念，坚持保护优先、绿色发展，坚持人与自然和谐共生，统筹推进山水林田湖草一体化保护和修复，扎实履行南水北调水源涵养政治担当，优化国土空间开发格局，增强秦岭生态系统稳定性，提升秦岭生态系统功能，以对党、对历史、对人民高度负责的精神，自觉当好秦岭生态卫士，持之以恒有效地保护国家生态安全屏障，把绿水青山建得更美，把金山银山做得更大，形成节约资源和保护生态环境的空间格局、产业结构、生产方式、生活方式，让秦岭的美景永驻、青山常在、绿水长流，让良好的秦岭生态环境成为镇安县高质量发展的“定盘星”。</w:t>
      </w:r>
    </w:p>
    <w:p w14:paraId="1DB93B56">
      <w:pPr>
        <w:pStyle w:val="32"/>
        <w:spacing w:before="156" w:after="156"/>
        <w:ind w:firstLine="640"/>
        <w:rPr>
          <w:shd w:val="clear" w:color="auto" w:fill="auto"/>
        </w:rPr>
      </w:pPr>
      <w:bookmarkStart w:id="7" w:name="_Toc59298925"/>
      <w:r>
        <w:rPr>
          <w:shd w:val="clear" w:color="auto" w:fill="auto"/>
        </w:rPr>
        <w:t>二</w:t>
      </w:r>
      <w:r>
        <w:rPr>
          <w:rFonts w:hint="eastAsia"/>
          <w:shd w:val="clear" w:color="auto" w:fill="auto"/>
        </w:rPr>
        <w:t>、</w:t>
      </w:r>
      <w:r>
        <w:rPr>
          <w:shd w:val="clear" w:color="auto" w:fill="auto"/>
        </w:rPr>
        <w:t>基本原则</w:t>
      </w:r>
      <w:bookmarkEnd w:id="7"/>
    </w:p>
    <w:p w14:paraId="66261A8C">
      <w:pPr>
        <w:pStyle w:val="22"/>
        <w:ind w:firstLine="643"/>
        <w:rPr>
          <w:shd w:val="clear" w:color="auto" w:fill="auto"/>
        </w:rPr>
      </w:pPr>
      <w:r>
        <w:rPr>
          <w:rFonts w:hint="eastAsia" w:ascii="楷体_GB2312" w:eastAsia="楷体_GB2312"/>
          <w:b/>
          <w:shd w:val="clear" w:color="auto" w:fill="auto"/>
        </w:rPr>
        <w:t>——坚持保护优先。</w:t>
      </w:r>
      <w:r>
        <w:rPr>
          <w:rFonts w:hint="eastAsia"/>
          <w:shd w:val="clear" w:color="auto" w:fill="auto"/>
        </w:rPr>
        <w:t>牢固树立和践行绿水青山就是金山银山理念，尊重自然、顺应自然、保护自然，像保护眼睛一样保护秦岭生态环境，像对待生命一样对待秦岭生态环境，依法依规对各类开发建设活动实行强制性、全过程监管，充分发挥大自然的自我修复功能，避免人类对秦岭生态环境的过度干预。</w:t>
      </w:r>
    </w:p>
    <w:p w14:paraId="5ED55190">
      <w:pPr>
        <w:pStyle w:val="22"/>
        <w:ind w:firstLine="643"/>
        <w:rPr>
          <w:shd w:val="clear" w:color="auto" w:fill="auto"/>
        </w:rPr>
      </w:pPr>
      <w:r>
        <w:rPr>
          <w:rFonts w:hint="eastAsia" w:ascii="楷体_GB2312" w:eastAsia="楷体_GB2312"/>
          <w:b/>
          <w:shd w:val="clear" w:color="auto" w:fill="auto"/>
        </w:rPr>
        <w:t>——坚持统筹规划。</w:t>
      </w:r>
      <w:r>
        <w:rPr>
          <w:rFonts w:hint="eastAsia"/>
          <w:shd w:val="clear" w:color="auto" w:fill="auto"/>
        </w:rPr>
        <w:t>秦岭范围开发建设活动应遵循先规划、后建设原则，涉及秦岭的各类区域规划、专项规划应当符合《条例》和《总体规划》的要求。秦岭生态环境保护各专项规划应当依法进行规划环境影响评价，各专项规划之间应当相互衔接，逐步实现“多规合一”。</w:t>
      </w:r>
    </w:p>
    <w:p w14:paraId="38A6DFF3">
      <w:pPr>
        <w:pStyle w:val="22"/>
        <w:ind w:firstLine="643"/>
        <w:rPr>
          <w:shd w:val="clear" w:color="auto" w:fill="auto"/>
        </w:rPr>
      </w:pPr>
      <w:r>
        <w:rPr>
          <w:rFonts w:hint="eastAsia" w:ascii="楷体_GB2312" w:eastAsia="楷体_GB2312"/>
          <w:b/>
          <w:shd w:val="clear" w:color="auto" w:fill="auto"/>
        </w:rPr>
        <w:t>——坚持严格监管。</w:t>
      </w:r>
      <w:r>
        <w:rPr>
          <w:rFonts w:hint="eastAsia"/>
          <w:shd w:val="clear" w:color="auto" w:fill="auto"/>
        </w:rPr>
        <w:t>扎实推进主体功能区建设，确定生态空间、农业空间、城镇空间总体布局，划定落实生态保护红线、永久基本农田、城镇开发边界，明确秦岭保护规划分区范围及管控要求，清晰划分并夯实各方各级责任，健全网格化信息化监管和联合执法机制，实现动态监管全覆盖，违规行为“零容忍”。</w:t>
      </w:r>
    </w:p>
    <w:p w14:paraId="74EA308F">
      <w:pPr>
        <w:pStyle w:val="22"/>
        <w:ind w:firstLine="643"/>
        <w:rPr>
          <w:shd w:val="clear" w:color="auto" w:fill="auto"/>
        </w:rPr>
      </w:pPr>
      <w:r>
        <w:rPr>
          <w:rFonts w:hint="eastAsia" w:ascii="楷体_GB2312" w:eastAsia="楷体_GB2312"/>
          <w:b/>
          <w:shd w:val="clear" w:color="auto" w:fill="auto"/>
        </w:rPr>
        <w:t>——坚持绿色发展。</w:t>
      </w:r>
      <w:r>
        <w:rPr>
          <w:rFonts w:hint="eastAsia"/>
          <w:shd w:val="clear" w:color="auto" w:fill="auto"/>
        </w:rPr>
        <w:t>全面推进资源节约集约和循环利用，淘汰高污染、高耗能、高排放落后产能，鼓励发展绿色循环经济，推广示范工程和先进技术应用，推进以生态产业化和产业生态化为主体的生态经济体系，建设生态产品供应基地，走绿色、循环、可持续的高质量发展之路。</w:t>
      </w:r>
    </w:p>
    <w:p w14:paraId="5755E27F">
      <w:pPr>
        <w:pStyle w:val="22"/>
        <w:ind w:firstLine="643"/>
        <w:rPr>
          <w:shd w:val="clear" w:color="auto" w:fill="auto"/>
        </w:rPr>
      </w:pPr>
      <w:r>
        <w:rPr>
          <w:rFonts w:hint="eastAsia" w:ascii="楷体_GB2312" w:eastAsia="楷体_GB2312"/>
          <w:b/>
          <w:shd w:val="clear" w:color="auto" w:fill="auto"/>
        </w:rPr>
        <w:t>——坚持科学治理。</w:t>
      </w:r>
      <w:r>
        <w:rPr>
          <w:rFonts w:hint="eastAsia"/>
          <w:shd w:val="clear" w:color="auto" w:fill="auto"/>
        </w:rPr>
        <w:t>坚持山水林田湖草生命共同体理念，遵循生态系统内在机理，以生态本底和自然禀赋为基础，关注生态质量提升和生态风险防控，强化科技支撑作用，因地制宜、实事求是，以自然修复为主、人工修复和生物修复为辅，推进一体化生态保护和修复。</w:t>
      </w:r>
    </w:p>
    <w:p w14:paraId="14DF086B">
      <w:pPr>
        <w:pStyle w:val="22"/>
        <w:ind w:firstLine="643"/>
        <w:rPr>
          <w:shd w:val="clear" w:color="auto" w:fill="auto"/>
        </w:rPr>
      </w:pPr>
      <w:r>
        <w:rPr>
          <w:rFonts w:hint="eastAsia" w:ascii="楷体_GB2312" w:eastAsia="楷体_GB2312"/>
          <w:b/>
          <w:shd w:val="clear" w:color="auto" w:fill="auto"/>
        </w:rPr>
        <w:t>——坚持共同参与。</w:t>
      </w:r>
      <w:r>
        <w:rPr>
          <w:rFonts w:hint="eastAsia"/>
          <w:shd w:val="clear" w:color="auto" w:fill="auto"/>
        </w:rPr>
        <w:t>充分发挥政府、企业、民间组织和个人等各方积极性，严格落实企业主体责任和政府监管责任，加大社会资金投入，提高群众生态保护意识，组织动员全社会当好秦岭生态卫士，推进形成政府主导、多元主体、全民参与的秦岭生态环境保护长效机制。</w:t>
      </w:r>
    </w:p>
    <w:p w14:paraId="4B52A206">
      <w:pPr>
        <w:pStyle w:val="32"/>
        <w:spacing w:before="156" w:after="156"/>
        <w:ind w:firstLine="640"/>
        <w:rPr>
          <w:shd w:val="clear" w:color="auto" w:fill="auto"/>
        </w:rPr>
      </w:pPr>
      <w:bookmarkStart w:id="8" w:name="_Toc59298926"/>
      <w:r>
        <w:rPr>
          <w:rFonts w:hint="eastAsia"/>
          <w:shd w:val="clear" w:color="auto" w:fill="auto"/>
        </w:rPr>
        <w:t>三、</w:t>
      </w:r>
      <w:r>
        <w:rPr>
          <w:shd w:val="clear" w:color="auto" w:fill="auto"/>
        </w:rPr>
        <w:t>编制依据</w:t>
      </w:r>
      <w:bookmarkEnd w:id="8"/>
    </w:p>
    <w:p w14:paraId="3C1EA003">
      <w:pPr>
        <w:pStyle w:val="22"/>
        <w:ind w:firstLine="640"/>
        <w:rPr>
          <w:shd w:val="clear" w:color="auto" w:fill="auto"/>
        </w:rPr>
      </w:pPr>
      <w:r>
        <w:rPr>
          <w:rFonts w:hint="eastAsia"/>
          <w:shd w:val="clear" w:color="auto" w:fill="auto"/>
        </w:rPr>
        <w:t>习近平总书记来陕考察重要讲话重要指示精神以及关于秦岭生态环境保护的历次指示批示精神，党中央、国务院关于生态环境保护的重大决策部署和有关法律法规。省委《关于全面加强秦岭生态环境保护工作的决定》，省十三届人大常委会第十三次会议修订通过的《陕西省秦岭生态环境保护条例》，2020年第13次省政府常务会审议通过的《陕西省秦岭生态环境保护总体规划》（陕政办发〔2020〕13号）。市委四届九次全会通过的《关于深入贯彻落实习近平总书记来陕考察重要讲话重要指示精神奋力谱写商洛新时代追赶超越新篇章的决定》，市委、市政府出台的《关于全面加强秦岭生态环境保护十五条措施》、《商洛市深入学习贯彻习近平总书记来陕考察重要讲话重要指示精神全面加强秦岭生态环境保护推动生态环境质量持续好转的实施意见》、《商洛市秦岭生态环境保护规划》（商政办发〔2020〕27号）。县委、县政府印发的《镇安县全面加强秦岭生态环境保护工作十五条措施任务分解方案》、《推进秦岭生态环境保护长效机制建设实施方案》。</w:t>
      </w:r>
    </w:p>
    <w:p w14:paraId="62557F4B">
      <w:pPr>
        <w:pStyle w:val="32"/>
        <w:spacing w:before="156" w:after="156"/>
        <w:ind w:firstLine="640"/>
        <w:rPr>
          <w:shd w:val="clear" w:color="auto" w:fill="auto"/>
        </w:rPr>
      </w:pPr>
      <w:bookmarkStart w:id="9" w:name="_Toc59298927"/>
      <w:r>
        <w:rPr>
          <w:rFonts w:hint="eastAsia"/>
          <w:shd w:val="clear" w:color="auto" w:fill="auto"/>
        </w:rPr>
        <w:t>四、</w:t>
      </w:r>
      <w:r>
        <w:rPr>
          <w:shd w:val="clear" w:color="auto" w:fill="auto"/>
        </w:rPr>
        <w:t>实施目标</w:t>
      </w:r>
      <w:bookmarkEnd w:id="9"/>
    </w:p>
    <w:p w14:paraId="05013C0A">
      <w:pPr>
        <w:pStyle w:val="29"/>
        <w:spacing w:before="156" w:after="156"/>
        <w:ind w:firstLine="643"/>
        <w:rPr>
          <w:shd w:val="clear" w:color="auto" w:fill="auto"/>
        </w:rPr>
      </w:pPr>
      <w:r>
        <w:rPr>
          <w:rFonts w:hint="eastAsia"/>
          <w:shd w:val="clear" w:color="auto" w:fill="auto"/>
        </w:rPr>
        <w:t>（一）总体目标</w:t>
      </w:r>
    </w:p>
    <w:p w14:paraId="1B68F7C5">
      <w:pPr>
        <w:pStyle w:val="22"/>
        <w:ind w:firstLine="643"/>
        <w:rPr>
          <w:shd w:val="clear" w:color="auto" w:fill="auto"/>
        </w:rPr>
      </w:pPr>
      <w:r>
        <w:rPr>
          <w:rFonts w:hint="eastAsia"/>
          <w:b/>
          <w:shd w:val="clear" w:color="auto" w:fill="auto"/>
        </w:rPr>
        <w:t>——到2</w:t>
      </w:r>
      <w:r>
        <w:rPr>
          <w:b/>
          <w:shd w:val="clear" w:color="auto" w:fill="auto"/>
        </w:rPr>
        <w:t>025年</w:t>
      </w:r>
      <w:r>
        <w:rPr>
          <w:rFonts w:hint="eastAsia"/>
          <w:b/>
          <w:shd w:val="clear" w:color="auto" w:fill="auto"/>
        </w:rPr>
        <w:t>，</w:t>
      </w:r>
      <w:r>
        <w:rPr>
          <w:rFonts w:hint="eastAsia"/>
          <w:shd w:val="clear" w:color="auto" w:fill="auto"/>
        </w:rPr>
        <w:t>秦岭区域空间管控成效显著，国土空间“三区三线”全面划定，自然保护地体系初步建立，核心、重点和一般保护区勘界定标工作基本完成。秦岭区域生态功能水平不断提升，森林覆盖率达到</w:t>
      </w:r>
      <w:r>
        <w:rPr>
          <w:shd w:val="clear" w:color="auto" w:fill="auto"/>
        </w:rPr>
        <w:t>69.5</w:t>
      </w:r>
      <w:r>
        <w:rPr>
          <w:rFonts w:hint="eastAsia"/>
          <w:shd w:val="clear" w:color="auto" w:fill="auto"/>
        </w:rPr>
        <w:t>%，湿地保护率不小于</w:t>
      </w:r>
      <w:r>
        <w:rPr>
          <w:shd w:val="clear" w:color="auto" w:fill="auto"/>
        </w:rPr>
        <w:t>80</w:t>
      </w:r>
      <w:r>
        <w:rPr>
          <w:rFonts w:hint="eastAsia"/>
          <w:shd w:val="clear" w:color="auto" w:fill="auto"/>
        </w:rPr>
        <w:t>%，野生动物重要栖息地面积保护率不小于9</w:t>
      </w:r>
      <w:r>
        <w:rPr>
          <w:shd w:val="clear" w:color="auto" w:fill="auto"/>
        </w:rPr>
        <w:t>0</w:t>
      </w:r>
      <w:r>
        <w:rPr>
          <w:rFonts w:hint="eastAsia"/>
          <w:shd w:val="clear" w:color="auto" w:fill="auto"/>
        </w:rPr>
        <w:t>%，乾佑河、唐家河、旬河出境断面水质稳定达到II类标准，城区集中式饮用水水源地水质达标率达到1</w:t>
      </w:r>
      <w:r>
        <w:rPr>
          <w:shd w:val="clear" w:color="auto" w:fill="auto"/>
        </w:rPr>
        <w:t>00</w:t>
      </w:r>
      <w:r>
        <w:rPr>
          <w:rFonts w:hint="eastAsia"/>
          <w:shd w:val="clear" w:color="auto" w:fill="auto"/>
        </w:rPr>
        <w:t>%，历史遗留矿山地质环境治理率不小于</w:t>
      </w:r>
      <w:r>
        <w:rPr>
          <w:shd w:val="clear" w:color="auto" w:fill="auto"/>
        </w:rPr>
        <w:t>50</w:t>
      </w:r>
      <w:r>
        <w:rPr>
          <w:rFonts w:hint="eastAsia"/>
          <w:shd w:val="clear" w:color="auto" w:fill="auto"/>
        </w:rPr>
        <w:t>%。绿色发展步伐不断加快，以生态产业化和产业生态化为主体的生态经济体系基本建立，服务业增加值占GDP比重达到</w:t>
      </w:r>
      <w:r>
        <w:rPr>
          <w:shd w:val="clear" w:color="auto" w:fill="auto"/>
        </w:rPr>
        <w:t>40</w:t>
      </w:r>
      <w:r>
        <w:rPr>
          <w:rFonts w:hint="eastAsia"/>
          <w:shd w:val="clear" w:color="auto" w:fill="auto"/>
        </w:rPr>
        <w:t>%以上，成功创建成为省级全域旅游示范区。脱贫攻坚、乡村振兴、民生保障、城市建设与秦岭生态环境保护一体化推进，经济社会发展水平和区域可持续发展能力稳步提升。</w:t>
      </w:r>
    </w:p>
    <w:p w14:paraId="24F5F385">
      <w:pPr>
        <w:pStyle w:val="22"/>
        <w:ind w:firstLine="643"/>
        <w:rPr>
          <w:shd w:val="clear" w:color="auto" w:fill="auto"/>
        </w:rPr>
      </w:pPr>
      <w:r>
        <w:rPr>
          <w:rFonts w:hint="eastAsia"/>
          <w:b/>
          <w:shd w:val="clear" w:color="auto" w:fill="auto"/>
        </w:rPr>
        <w:t>——</w:t>
      </w:r>
      <w:r>
        <w:rPr>
          <w:b/>
          <w:shd w:val="clear" w:color="auto" w:fill="auto"/>
        </w:rPr>
        <w:t>到</w:t>
      </w:r>
      <w:r>
        <w:rPr>
          <w:rFonts w:hint="eastAsia"/>
          <w:b/>
          <w:shd w:val="clear" w:color="auto" w:fill="auto"/>
        </w:rPr>
        <w:t>2</w:t>
      </w:r>
      <w:r>
        <w:rPr>
          <w:b/>
          <w:shd w:val="clear" w:color="auto" w:fill="auto"/>
        </w:rPr>
        <w:t>035年</w:t>
      </w:r>
      <w:r>
        <w:rPr>
          <w:rFonts w:hint="eastAsia"/>
          <w:b/>
          <w:shd w:val="clear" w:color="auto" w:fill="auto"/>
        </w:rPr>
        <w:t>，</w:t>
      </w:r>
      <w:r>
        <w:rPr>
          <w:rFonts w:hint="eastAsia"/>
          <w:shd w:val="clear" w:color="auto" w:fill="auto"/>
        </w:rPr>
        <w:t>秦岭生态系统稳定性显著增强，生态系统质量明显改善，自然生态系统基本实现良性循环，生态安全屏障作用充分发挥。绿色生产生活方式全面形成，优质生态产品供给能力基本满足人民群众对美好生活的需求，生态文明建设达到较高水平，秦岭生态环境更加宁静、和谐、美丽。</w:t>
      </w:r>
    </w:p>
    <w:p w14:paraId="0A8BFC94">
      <w:pPr>
        <w:pStyle w:val="29"/>
        <w:spacing w:before="156" w:after="156"/>
        <w:ind w:firstLine="643"/>
        <w:rPr>
          <w:shd w:val="clear" w:color="auto" w:fill="auto"/>
        </w:rPr>
      </w:pPr>
      <w:r>
        <w:rPr>
          <w:rFonts w:hint="eastAsia"/>
          <w:shd w:val="clear" w:color="auto" w:fill="auto"/>
        </w:rPr>
        <w:t>（二）具体指标</w:t>
      </w:r>
    </w:p>
    <w:p w14:paraId="2AA3D463">
      <w:pPr>
        <w:pStyle w:val="22"/>
        <w:ind w:firstLine="640"/>
        <w:rPr>
          <w:shd w:val="clear" w:color="auto" w:fill="auto"/>
        </w:rPr>
      </w:pPr>
      <w:r>
        <w:rPr>
          <w:rFonts w:hint="eastAsia"/>
          <w:shd w:val="clear" w:color="auto" w:fill="auto"/>
        </w:rPr>
        <w:t>立足镇安县秦岭生态环境保护现状，依据《陕西省秦岭生态环境保护条例》、《陕西省秦岭生态环境保护总体规划》及《商洛市秦岭生态环境保护规划》，制定镇安县秦岭生态环境保护指标体系，主要包括生态保护、修复治理、绿色发展、民生福祉</w:t>
      </w:r>
      <w:r>
        <w:rPr>
          <w:shd w:val="clear" w:color="auto" w:fill="auto"/>
        </w:rPr>
        <w:t>4</w:t>
      </w:r>
      <w:r>
        <w:rPr>
          <w:rFonts w:hint="eastAsia"/>
          <w:shd w:val="clear" w:color="auto" w:fill="auto"/>
        </w:rPr>
        <w:t>大领域</w:t>
      </w:r>
      <w:r>
        <w:rPr>
          <w:shd w:val="clear" w:color="auto" w:fill="auto"/>
        </w:rPr>
        <w:t>22</w:t>
      </w:r>
      <w:r>
        <w:rPr>
          <w:rFonts w:hint="eastAsia"/>
          <w:shd w:val="clear" w:color="auto" w:fill="auto"/>
        </w:rPr>
        <w:t>项指标，具体内容见专栏2。</w:t>
      </w:r>
    </w:p>
    <w:p w14:paraId="60300A94">
      <w:pPr>
        <w:pStyle w:val="22"/>
        <w:ind w:firstLine="640"/>
        <w:rPr>
          <w:shd w:val="clear" w:color="auto" w:fill="auto"/>
        </w:rPr>
      </w:pPr>
    </w:p>
    <w:p w14:paraId="2584514F">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3905"/>
        <w:gridCol w:w="859"/>
        <w:gridCol w:w="1212"/>
        <w:gridCol w:w="1230"/>
        <w:gridCol w:w="1205"/>
      </w:tblGrid>
      <w:tr w14:paraId="4E46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00" w:type="pct"/>
            <w:gridSpan w:val="6"/>
            <w:vAlign w:val="center"/>
          </w:tcPr>
          <w:p w14:paraId="63F522D7">
            <w:pPr>
              <w:pStyle w:val="36"/>
            </w:pPr>
            <w:r>
              <w:rPr>
                <w:shd w:val="clear" w:color="auto" w:fill="auto"/>
              </w:rPr>
              <w:t>专栏</w:t>
            </w:r>
            <w:r>
              <w:rPr>
                <w:rFonts w:hint="eastAsia"/>
                <w:shd w:val="clear" w:color="auto" w:fill="auto"/>
              </w:rPr>
              <w:t xml:space="preserve"> </w:t>
            </w:r>
            <w:r>
              <w:rPr>
                <w:shd w:val="clear" w:color="auto" w:fill="auto"/>
              </w:rPr>
              <w:t>2 镇安县秦岭生态环境保护主要指标</w:t>
            </w:r>
          </w:p>
        </w:tc>
      </w:tr>
      <w:tr w14:paraId="1B6A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358" w:type="pct"/>
            <w:vAlign w:val="center"/>
          </w:tcPr>
          <w:p w14:paraId="037EDCDA">
            <w:pPr>
              <w:pStyle w:val="34"/>
              <w:rPr>
                <w:b/>
                <w:shd w:val="clear" w:color="auto" w:fill="auto"/>
              </w:rPr>
            </w:pPr>
            <w:r>
              <w:rPr>
                <w:rFonts w:hint="eastAsia"/>
                <w:b/>
                <w:shd w:val="clear" w:color="auto" w:fill="auto"/>
              </w:rPr>
              <w:t>序号</w:t>
            </w:r>
          </w:p>
        </w:tc>
        <w:tc>
          <w:tcPr>
            <w:tcW w:w="2155" w:type="pct"/>
            <w:vAlign w:val="center"/>
          </w:tcPr>
          <w:p w14:paraId="34EB3EC2">
            <w:pPr>
              <w:pStyle w:val="34"/>
              <w:rPr>
                <w:b/>
                <w:shd w:val="clear" w:color="auto" w:fill="auto"/>
              </w:rPr>
            </w:pPr>
            <w:r>
              <w:rPr>
                <w:rFonts w:hint="eastAsia"/>
                <w:b/>
                <w:shd w:val="clear" w:color="auto" w:fill="auto"/>
              </w:rPr>
              <w:t>指标</w:t>
            </w:r>
          </w:p>
        </w:tc>
        <w:tc>
          <w:tcPr>
            <w:tcW w:w="474" w:type="pct"/>
            <w:vAlign w:val="center"/>
          </w:tcPr>
          <w:p w14:paraId="3FD36EB8">
            <w:pPr>
              <w:pStyle w:val="34"/>
              <w:rPr>
                <w:b/>
                <w:shd w:val="clear" w:color="auto" w:fill="auto"/>
              </w:rPr>
            </w:pPr>
            <w:r>
              <w:rPr>
                <w:rFonts w:hint="eastAsia"/>
                <w:b/>
                <w:shd w:val="clear" w:color="auto" w:fill="auto"/>
              </w:rPr>
              <w:t>单位</w:t>
            </w:r>
          </w:p>
        </w:tc>
        <w:tc>
          <w:tcPr>
            <w:tcW w:w="669" w:type="pct"/>
            <w:vAlign w:val="center"/>
          </w:tcPr>
          <w:p w14:paraId="2D4B654F">
            <w:pPr>
              <w:pStyle w:val="34"/>
              <w:rPr>
                <w:b/>
                <w:shd w:val="clear" w:color="auto" w:fill="auto"/>
              </w:rPr>
            </w:pPr>
            <w:r>
              <w:rPr>
                <w:rFonts w:hint="eastAsia"/>
                <w:b/>
                <w:shd w:val="clear" w:color="auto" w:fill="auto"/>
              </w:rPr>
              <w:t>2</w:t>
            </w:r>
            <w:r>
              <w:rPr>
                <w:b/>
                <w:shd w:val="clear" w:color="auto" w:fill="auto"/>
              </w:rPr>
              <w:t>019年</w:t>
            </w:r>
          </w:p>
        </w:tc>
        <w:tc>
          <w:tcPr>
            <w:tcW w:w="679" w:type="pct"/>
            <w:vAlign w:val="center"/>
          </w:tcPr>
          <w:p w14:paraId="407A40B8">
            <w:pPr>
              <w:pStyle w:val="34"/>
              <w:rPr>
                <w:b/>
                <w:shd w:val="clear" w:color="auto" w:fill="auto"/>
              </w:rPr>
            </w:pPr>
            <w:r>
              <w:rPr>
                <w:rFonts w:hint="eastAsia"/>
                <w:b/>
                <w:shd w:val="clear" w:color="auto" w:fill="auto"/>
              </w:rPr>
              <w:t>2</w:t>
            </w:r>
            <w:r>
              <w:rPr>
                <w:b/>
                <w:shd w:val="clear" w:color="auto" w:fill="auto"/>
              </w:rPr>
              <w:t>025年</w:t>
            </w:r>
          </w:p>
        </w:tc>
        <w:tc>
          <w:tcPr>
            <w:tcW w:w="665" w:type="pct"/>
            <w:vAlign w:val="center"/>
          </w:tcPr>
          <w:p w14:paraId="2D11B573">
            <w:pPr>
              <w:pStyle w:val="34"/>
              <w:rPr>
                <w:b/>
                <w:shd w:val="clear" w:color="auto" w:fill="auto"/>
              </w:rPr>
            </w:pPr>
            <w:r>
              <w:rPr>
                <w:rFonts w:hint="eastAsia"/>
                <w:b/>
                <w:shd w:val="clear" w:color="auto" w:fill="auto"/>
              </w:rPr>
              <w:t>属性</w:t>
            </w:r>
          </w:p>
        </w:tc>
      </w:tr>
      <w:tr w14:paraId="108B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vAlign w:val="center"/>
          </w:tcPr>
          <w:p w14:paraId="6CF1BA7B">
            <w:pPr>
              <w:pStyle w:val="34"/>
              <w:rPr>
                <w:b/>
                <w:shd w:val="clear" w:color="auto" w:fill="auto"/>
              </w:rPr>
            </w:pPr>
            <w:r>
              <w:rPr>
                <w:b/>
                <w:shd w:val="clear" w:color="auto" w:fill="auto"/>
              </w:rPr>
              <w:t>生态保护</w:t>
            </w:r>
          </w:p>
        </w:tc>
      </w:tr>
      <w:tr w14:paraId="298D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651F20D0">
            <w:pPr>
              <w:pStyle w:val="34"/>
              <w:rPr>
                <w:shd w:val="clear" w:color="auto" w:fill="auto"/>
              </w:rPr>
            </w:pPr>
            <w:r>
              <w:rPr>
                <w:rFonts w:hint="eastAsia"/>
                <w:shd w:val="clear" w:color="auto" w:fill="auto"/>
              </w:rPr>
              <w:t>1</w:t>
            </w:r>
          </w:p>
        </w:tc>
        <w:tc>
          <w:tcPr>
            <w:tcW w:w="2155" w:type="pct"/>
            <w:vAlign w:val="center"/>
          </w:tcPr>
          <w:p w14:paraId="763ACAF0">
            <w:pPr>
              <w:pStyle w:val="34"/>
              <w:rPr>
                <w:shd w:val="clear" w:color="auto" w:fill="auto"/>
              </w:rPr>
            </w:pPr>
            <w:r>
              <w:rPr>
                <w:rFonts w:hint="eastAsia"/>
                <w:shd w:val="clear" w:color="auto" w:fill="auto"/>
              </w:rPr>
              <w:t>森林覆盖率</w:t>
            </w:r>
          </w:p>
        </w:tc>
        <w:tc>
          <w:tcPr>
            <w:tcW w:w="474" w:type="pct"/>
            <w:vAlign w:val="center"/>
          </w:tcPr>
          <w:p w14:paraId="4888514C">
            <w:pPr>
              <w:pStyle w:val="34"/>
              <w:rPr>
                <w:shd w:val="clear" w:color="auto" w:fill="auto"/>
              </w:rPr>
            </w:pPr>
            <w:r>
              <w:rPr>
                <w:rFonts w:hint="eastAsia"/>
                <w:shd w:val="clear" w:color="auto" w:fill="auto"/>
              </w:rPr>
              <w:t>%</w:t>
            </w:r>
          </w:p>
        </w:tc>
        <w:tc>
          <w:tcPr>
            <w:tcW w:w="669" w:type="pct"/>
            <w:vAlign w:val="center"/>
          </w:tcPr>
          <w:p w14:paraId="30A3B10B">
            <w:pPr>
              <w:pStyle w:val="34"/>
              <w:rPr>
                <w:shd w:val="clear" w:color="auto" w:fill="auto"/>
              </w:rPr>
            </w:pPr>
            <w:r>
              <w:rPr>
                <w:rFonts w:hint="eastAsia"/>
                <w:shd w:val="clear" w:color="auto" w:fill="auto"/>
              </w:rPr>
              <w:t>6</w:t>
            </w:r>
            <w:r>
              <w:rPr>
                <w:shd w:val="clear" w:color="auto" w:fill="auto"/>
              </w:rPr>
              <w:t>8.56</w:t>
            </w:r>
          </w:p>
        </w:tc>
        <w:tc>
          <w:tcPr>
            <w:tcW w:w="679" w:type="pct"/>
            <w:vAlign w:val="center"/>
          </w:tcPr>
          <w:p w14:paraId="12CBC412">
            <w:pPr>
              <w:pStyle w:val="34"/>
              <w:rPr>
                <w:shd w:val="clear" w:color="auto" w:fill="auto"/>
              </w:rPr>
            </w:pPr>
            <w:r>
              <w:rPr>
                <w:rFonts w:hint="eastAsia"/>
                <w:shd w:val="clear" w:color="auto" w:fill="auto"/>
              </w:rPr>
              <w:t>6</w:t>
            </w:r>
            <w:r>
              <w:rPr>
                <w:shd w:val="clear" w:color="auto" w:fill="auto"/>
              </w:rPr>
              <w:t>9.5</w:t>
            </w:r>
          </w:p>
        </w:tc>
        <w:tc>
          <w:tcPr>
            <w:tcW w:w="665" w:type="pct"/>
            <w:vAlign w:val="center"/>
          </w:tcPr>
          <w:p w14:paraId="2E2DAE8C">
            <w:pPr>
              <w:pStyle w:val="34"/>
              <w:rPr>
                <w:shd w:val="clear" w:color="auto" w:fill="auto"/>
              </w:rPr>
            </w:pPr>
            <w:r>
              <w:rPr>
                <w:rFonts w:hint="eastAsia"/>
                <w:shd w:val="clear" w:color="auto" w:fill="auto"/>
              </w:rPr>
              <w:t>约束性</w:t>
            </w:r>
          </w:p>
        </w:tc>
      </w:tr>
      <w:tr w14:paraId="0D7D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46B0C40E">
            <w:pPr>
              <w:pStyle w:val="34"/>
              <w:rPr>
                <w:shd w:val="clear" w:color="auto" w:fill="auto"/>
              </w:rPr>
            </w:pPr>
            <w:r>
              <w:rPr>
                <w:rFonts w:hint="eastAsia"/>
                <w:shd w:val="clear" w:color="auto" w:fill="auto"/>
              </w:rPr>
              <w:t>2</w:t>
            </w:r>
          </w:p>
        </w:tc>
        <w:tc>
          <w:tcPr>
            <w:tcW w:w="2155" w:type="pct"/>
            <w:vAlign w:val="center"/>
          </w:tcPr>
          <w:p w14:paraId="065E353D">
            <w:pPr>
              <w:pStyle w:val="34"/>
              <w:rPr>
                <w:shd w:val="clear" w:color="auto" w:fill="auto"/>
              </w:rPr>
            </w:pPr>
            <w:r>
              <w:rPr>
                <w:rFonts w:hint="eastAsia"/>
                <w:shd w:val="clear" w:color="auto" w:fill="auto"/>
              </w:rPr>
              <w:t>森林保护面积占比</w:t>
            </w:r>
          </w:p>
        </w:tc>
        <w:tc>
          <w:tcPr>
            <w:tcW w:w="474" w:type="pct"/>
            <w:vAlign w:val="center"/>
          </w:tcPr>
          <w:p w14:paraId="672D2B11">
            <w:pPr>
              <w:pStyle w:val="34"/>
              <w:rPr>
                <w:shd w:val="clear" w:color="auto" w:fill="auto"/>
              </w:rPr>
            </w:pPr>
            <w:r>
              <w:rPr>
                <w:rFonts w:hint="eastAsia"/>
                <w:shd w:val="clear" w:color="auto" w:fill="auto"/>
              </w:rPr>
              <w:t>%</w:t>
            </w:r>
          </w:p>
        </w:tc>
        <w:tc>
          <w:tcPr>
            <w:tcW w:w="669" w:type="pct"/>
            <w:vAlign w:val="center"/>
          </w:tcPr>
          <w:p w14:paraId="4ADA1712">
            <w:pPr>
              <w:pStyle w:val="34"/>
              <w:rPr>
                <w:shd w:val="clear" w:color="auto" w:fill="auto"/>
              </w:rPr>
            </w:pPr>
            <w:r>
              <w:rPr>
                <w:shd w:val="clear" w:color="auto" w:fill="auto"/>
              </w:rPr>
              <w:t>90</w:t>
            </w:r>
          </w:p>
        </w:tc>
        <w:tc>
          <w:tcPr>
            <w:tcW w:w="679" w:type="pct"/>
            <w:vAlign w:val="center"/>
          </w:tcPr>
          <w:p w14:paraId="2BB3FCF6">
            <w:pPr>
              <w:pStyle w:val="34"/>
              <w:rPr>
                <w:shd w:val="clear" w:color="auto" w:fill="auto"/>
              </w:rPr>
            </w:pPr>
            <w:r>
              <w:rPr>
                <w:rFonts w:hint="eastAsia"/>
                <w:shd w:val="clear" w:color="auto" w:fill="auto"/>
              </w:rPr>
              <w:t>＞9</w:t>
            </w:r>
            <w:r>
              <w:rPr>
                <w:shd w:val="clear" w:color="auto" w:fill="auto"/>
              </w:rPr>
              <w:t>5</w:t>
            </w:r>
          </w:p>
        </w:tc>
        <w:tc>
          <w:tcPr>
            <w:tcW w:w="665" w:type="pct"/>
            <w:vAlign w:val="center"/>
          </w:tcPr>
          <w:p w14:paraId="32FC20AA">
            <w:pPr>
              <w:pStyle w:val="34"/>
              <w:rPr>
                <w:shd w:val="clear" w:color="auto" w:fill="auto"/>
              </w:rPr>
            </w:pPr>
            <w:r>
              <w:rPr>
                <w:rFonts w:hint="eastAsia"/>
                <w:shd w:val="clear" w:color="auto" w:fill="auto"/>
              </w:rPr>
              <w:t>约束性</w:t>
            </w:r>
          </w:p>
        </w:tc>
      </w:tr>
      <w:tr w14:paraId="4088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3441C2E4">
            <w:pPr>
              <w:pStyle w:val="34"/>
              <w:rPr>
                <w:shd w:val="clear" w:color="auto" w:fill="auto"/>
              </w:rPr>
            </w:pPr>
            <w:r>
              <w:rPr>
                <w:rFonts w:hint="eastAsia"/>
                <w:shd w:val="clear" w:color="auto" w:fill="auto"/>
              </w:rPr>
              <w:t>3</w:t>
            </w:r>
          </w:p>
        </w:tc>
        <w:tc>
          <w:tcPr>
            <w:tcW w:w="2155" w:type="pct"/>
            <w:vAlign w:val="center"/>
          </w:tcPr>
          <w:p w14:paraId="59DE8629">
            <w:pPr>
              <w:pStyle w:val="34"/>
              <w:rPr>
                <w:shd w:val="clear" w:color="auto" w:fill="auto"/>
              </w:rPr>
            </w:pPr>
            <w:r>
              <w:rPr>
                <w:rFonts w:hint="eastAsia"/>
                <w:shd w:val="clear" w:color="auto" w:fill="auto"/>
              </w:rPr>
              <w:t>湿地保护率</w:t>
            </w:r>
          </w:p>
        </w:tc>
        <w:tc>
          <w:tcPr>
            <w:tcW w:w="474" w:type="pct"/>
            <w:vAlign w:val="center"/>
          </w:tcPr>
          <w:p w14:paraId="48CDAADC">
            <w:pPr>
              <w:pStyle w:val="34"/>
              <w:rPr>
                <w:shd w:val="clear" w:color="auto" w:fill="auto"/>
              </w:rPr>
            </w:pPr>
            <w:r>
              <w:rPr>
                <w:rFonts w:hint="eastAsia"/>
                <w:shd w:val="clear" w:color="auto" w:fill="auto"/>
              </w:rPr>
              <w:t>%</w:t>
            </w:r>
          </w:p>
        </w:tc>
        <w:tc>
          <w:tcPr>
            <w:tcW w:w="669" w:type="pct"/>
            <w:vAlign w:val="center"/>
          </w:tcPr>
          <w:p w14:paraId="15209D34">
            <w:pPr>
              <w:pStyle w:val="34"/>
              <w:rPr>
                <w:shd w:val="clear" w:color="auto" w:fill="auto"/>
              </w:rPr>
            </w:pPr>
            <w:r>
              <w:rPr>
                <w:shd w:val="clear" w:color="auto" w:fill="auto"/>
              </w:rPr>
              <w:t>60</w:t>
            </w:r>
          </w:p>
        </w:tc>
        <w:tc>
          <w:tcPr>
            <w:tcW w:w="679" w:type="pct"/>
            <w:vAlign w:val="center"/>
          </w:tcPr>
          <w:p w14:paraId="1F3BA138">
            <w:pPr>
              <w:pStyle w:val="34"/>
              <w:rPr>
                <w:shd w:val="clear" w:color="auto" w:fill="auto"/>
              </w:rPr>
            </w:pPr>
            <w:r>
              <w:rPr>
                <w:rFonts w:hint="eastAsia"/>
                <w:shd w:val="clear" w:color="auto" w:fill="auto"/>
              </w:rPr>
              <w:t>≥</w:t>
            </w:r>
            <w:r>
              <w:rPr>
                <w:shd w:val="clear" w:color="auto" w:fill="auto"/>
              </w:rPr>
              <w:t>80</w:t>
            </w:r>
          </w:p>
        </w:tc>
        <w:tc>
          <w:tcPr>
            <w:tcW w:w="665" w:type="pct"/>
            <w:vAlign w:val="center"/>
          </w:tcPr>
          <w:p w14:paraId="4DA4A634">
            <w:pPr>
              <w:pStyle w:val="34"/>
              <w:rPr>
                <w:shd w:val="clear" w:color="auto" w:fill="auto"/>
              </w:rPr>
            </w:pPr>
            <w:r>
              <w:rPr>
                <w:rFonts w:hint="eastAsia"/>
                <w:shd w:val="clear" w:color="auto" w:fill="auto"/>
              </w:rPr>
              <w:t>预期性</w:t>
            </w:r>
          </w:p>
        </w:tc>
      </w:tr>
      <w:tr w14:paraId="50E2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606A6664">
            <w:pPr>
              <w:pStyle w:val="34"/>
              <w:rPr>
                <w:shd w:val="clear" w:color="auto" w:fill="auto"/>
              </w:rPr>
            </w:pPr>
            <w:r>
              <w:rPr>
                <w:rFonts w:hint="eastAsia"/>
                <w:shd w:val="clear" w:color="auto" w:fill="auto"/>
              </w:rPr>
              <w:t>4</w:t>
            </w:r>
          </w:p>
        </w:tc>
        <w:tc>
          <w:tcPr>
            <w:tcW w:w="2155" w:type="pct"/>
            <w:vAlign w:val="center"/>
          </w:tcPr>
          <w:p w14:paraId="6CE6E2BE">
            <w:pPr>
              <w:pStyle w:val="34"/>
              <w:rPr>
                <w:shd w:val="clear" w:color="auto" w:fill="auto"/>
              </w:rPr>
            </w:pPr>
            <w:r>
              <w:rPr>
                <w:rFonts w:hint="eastAsia"/>
                <w:shd w:val="clear" w:color="auto" w:fill="auto"/>
              </w:rPr>
              <w:t>野生动物重要栖息地面积保护率</w:t>
            </w:r>
          </w:p>
        </w:tc>
        <w:tc>
          <w:tcPr>
            <w:tcW w:w="474" w:type="pct"/>
            <w:vAlign w:val="center"/>
          </w:tcPr>
          <w:p w14:paraId="709579BF">
            <w:pPr>
              <w:pStyle w:val="34"/>
              <w:rPr>
                <w:shd w:val="clear" w:color="auto" w:fill="auto"/>
              </w:rPr>
            </w:pPr>
            <w:r>
              <w:rPr>
                <w:rFonts w:hint="eastAsia"/>
                <w:shd w:val="clear" w:color="auto" w:fill="auto"/>
              </w:rPr>
              <w:t>%</w:t>
            </w:r>
          </w:p>
        </w:tc>
        <w:tc>
          <w:tcPr>
            <w:tcW w:w="669" w:type="pct"/>
            <w:vAlign w:val="center"/>
          </w:tcPr>
          <w:p w14:paraId="316C95CA">
            <w:pPr>
              <w:pStyle w:val="34"/>
              <w:rPr>
                <w:shd w:val="clear" w:color="auto" w:fill="auto"/>
              </w:rPr>
            </w:pPr>
            <w:r>
              <w:rPr>
                <w:shd w:val="clear" w:color="auto" w:fill="auto"/>
              </w:rPr>
              <w:t>80</w:t>
            </w:r>
          </w:p>
        </w:tc>
        <w:tc>
          <w:tcPr>
            <w:tcW w:w="679" w:type="pct"/>
            <w:vAlign w:val="center"/>
          </w:tcPr>
          <w:p w14:paraId="2DBB3489">
            <w:pPr>
              <w:pStyle w:val="34"/>
              <w:rPr>
                <w:shd w:val="clear" w:color="auto" w:fill="auto"/>
              </w:rPr>
            </w:pPr>
            <w:r>
              <w:rPr>
                <w:rFonts w:hint="eastAsia"/>
                <w:shd w:val="clear" w:color="auto" w:fill="auto"/>
              </w:rPr>
              <w:t>≥</w:t>
            </w:r>
            <w:r>
              <w:rPr>
                <w:shd w:val="clear" w:color="auto" w:fill="auto"/>
              </w:rPr>
              <w:t>90</w:t>
            </w:r>
          </w:p>
        </w:tc>
        <w:tc>
          <w:tcPr>
            <w:tcW w:w="665" w:type="pct"/>
            <w:vAlign w:val="center"/>
          </w:tcPr>
          <w:p w14:paraId="01DB308F">
            <w:pPr>
              <w:pStyle w:val="34"/>
              <w:rPr>
                <w:shd w:val="clear" w:color="auto" w:fill="auto"/>
              </w:rPr>
            </w:pPr>
            <w:r>
              <w:rPr>
                <w:rFonts w:hint="eastAsia"/>
                <w:shd w:val="clear" w:color="auto" w:fill="auto"/>
              </w:rPr>
              <w:t>预期性</w:t>
            </w:r>
          </w:p>
        </w:tc>
      </w:tr>
      <w:tr w14:paraId="4793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1D7C2516">
            <w:pPr>
              <w:pStyle w:val="34"/>
              <w:rPr>
                <w:shd w:val="clear" w:color="auto" w:fill="auto"/>
              </w:rPr>
            </w:pPr>
            <w:r>
              <w:rPr>
                <w:rFonts w:hint="eastAsia"/>
                <w:shd w:val="clear" w:color="auto" w:fill="auto"/>
              </w:rPr>
              <w:t>5</w:t>
            </w:r>
          </w:p>
        </w:tc>
        <w:tc>
          <w:tcPr>
            <w:tcW w:w="2155" w:type="pct"/>
            <w:vAlign w:val="center"/>
          </w:tcPr>
          <w:p w14:paraId="3EA785AC">
            <w:pPr>
              <w:pStyle w:val="34"/>
              <w:rPr>
                <w:shd w:val="clear" w:color="auto" w:fill="auto"/>
              </w:rPr>
            </w:pPr>
            <w:r>
              <w:rPr>
                <w:rFonts w:hint="eastAsia"/>
                <w:shd w:val="clear" w:color="auto" w:fill="auto"/>
              </w:rPr>
              <w:t>森林火灾受害率</w:t>
            </w:r>
          </w:p>
        </w:tc>
        <w:tc>
          <w:tcPr>
            <w:tcW w:w="474" w:type="pct"/>
            <w:vAlign w:val="center"/>
          </w:tcPr>
          <w:p w14:paraId="3BBFF8AB">
            <w:pPr>
              <w:pStyle w:val="34"/>
              <w:rPr>
                <w:rFonts w:cs="Times New Roman"/>
                <w:shd w:val="clear" w:color="auto" w:fill="auto"/>
              </w:rPr>
            </w:pPr>
            <w:r>
              <w:rPr>
                <w:rFonts w:cs="Times New Roman"/>
                <w:shd w:val="clear" w:color="auto" w:fill="auto"/>
              </w:rPr>
              <w:t>‰</w:t>
            </w:r>
          </w:p>
        </w:tc>
        <w:tc>
          <w:tcPr>
            <w:tcW w:w="669" w:type="pct"/>
            <w:vAlign w:val="center"/>
          </w:tcPr>
          <w:p w14:paraId="4EB38226">
            <w:pPr>
              <w:pStyle w:val="34"/>
              <w:rPr>
                <w:shd w:val="clear" w:color="auto" w:fill="auto"/>
              </w:rPr>
            </w:pPr>
            <w:r>
              <w:rPr>
                <w:rFonts w:hint="eastAsia"/>
                <w:shd w:val="clear" w:color="auto" w:fill="auto"/>
              </w:rPr>
              <w:t>＜0.</w:t>
            </w:r>
            <w:r>
              <w:rPr>
                <w:shd w:val="clear" w:color="auto" w:fill="auto"/>
              </w:rPr>
              <w:t>2</w:t>
            </w:r>
          </w:p>
        </w:tc>
        <w:tc>
          <w:tcPr>
            <w:tcW w:w="679" w:type="pct"/>
            <w:vAlign w:val="center"/>
          </w:tcPr>
          <w:p w14:paraId="5794D753">
            <w:pPr>
              <w:pStyle w:val="34"/>
              <w:rPr>
                <w:shd w:val="clear" w:color="auto" w:fill="auto"/>
              </w:rPr>
            </w:pPr>
            <w:r>
              <w:rPr>
                <w:rFonts w:hint="eastAsia"/>
                <w:shd w:val="clear" w:color="auto" w:fill="auto"/>
              </w:rPr>
              <w:t>＜0.</w:t>
            </w:r>
            <w:r>
              <w:rPr>
                <w:shd w:val="clear" w:color="auto" w:fill="auto"/>
              </w:rPr>
              <w:t>2</w:t>
            </w:r>
          </w:p>
        </w:tc>
        <w:tc>
          <w:tcPr>
            <w:tcW w:w="665" w:type="pct"/>
            <w:vAlign w:val="center"/>
          </w:tcPr>
          <w:p w14:paraId="04157E19">
            <w:pPr>
              <w:pStyle w:val="34"/>
              <w:rPr>
                <w:shd w:val="clear" w:color="auto" w:fill="auto"/>
              </w:rPr>
            </w:pPr>
            <w:r>
              <w:rPr>
                <w:rFonts w:hint="eastAsia"/>
                <w:shd w:val="clear" w:color="auto" w:fill="auto"/>
              </w:rPr>
              <w:t>约束性</w:t>
            </w:r>
          </w:p>
        </w:tc>
      </w:tr>
      <w:tr w14:paraId="5335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73D6EFAC">
            <w:pPr>
              <w:pStyle w:val="34"/>
              <w:rPr>
                <w:shd w:val="clear" w:color="auto" w:fill="auto"/>
              </w:rPr>
            </w:pPr>
            <w:r>
              <w:rPr>
                <w:rFonts w:hint="eastAsia"/>
                <w:shd w:val="clear" w:color="auto" w:fill="auto"/>
              </w:rPr>
              <w:t>6</w:t>
            </w:r>
          </w:p>
        </w:tc>
        <w:tc>
          <w:tcPr>
            <w:tcW w:w="2155" w:type="pct"/>
            <w:vAlign w:val="center"/>
          </w:tcPr>
          <w:p w14:paraId="17B5987E">
            <w:pPr>
              <w:pStyle w:val="34"/>
              <w:rPr>
                <w:shd w:val="clear" w:color="auto" w:fill="auto"/>
              </w:rPr>
            </w:pPr>
            <w:r>
              <w:rPr>
                <w:rFonts w:hint="eastAsia"/>
                <w:shd w:val="clear" w:color="auto" w:fill="auto"/>
              </w:rPr>
              <w:t>林业有害生物成灾率</w:t>
            </w:r>
          </w:p>
        </w:tc>
        <w:tc>
          <w:tcPr>
            <w:tcW w:w="474" w:type="pct"/>
            <w:vAlign w:val="center"/>
          </w:tcPr>
          <w:p w14:paraId="2CA7C8C1">
            <w:pPr>
              <w:pStyle w:val="34"/>
              <w:rPr>
                <w:shd w:val="clear" w:color="auto" w:fill="auto"/>
              </w:rPr>
            </w:pPr>
            <w:r>
              <w:rPr>
                <w:rFonts w:cs="Times New Roman"/>
                <w:shd w:val="clear" w:color="auto" w:fill="auto"/>
              </w:rPr>
              <w:t>‰</w:t>
            </w:r>
          </w:p>
        </w:tc>
        <w:tc>
          <w:tcPr>
            <w:tcW w:w="669" w:type="pct"/>
            <w:vAlign w:val="center"/>
          </w:tcPr>
          <w:p w14:paraId="3BCD69AF">
            <w:pPr>
              <w:pStyle w:val="34"/>
              <w:rPr>
                <w:shd w:val="clear" w:color="auto" w:fill="auto"/>
              </w:rPr>
            </w:pPr>
            <w:r>
              <w:rPr>
                <w:rFonts w:hint="eastAsia"/>
                <w:shd w:val="clear" w:color="auto" w:fill="auto"/>
              </w:rPr>
              <w:t>＜4.</w:t>
            </w:r>
            <w:r>
              <w:rPr>
                <w:shd w:val="clear" w:color="auto" w:fill="auto"/>
              </w:rPr>
              <w:t>8</w:t>
            </w:r>
          </w:p>
        </w:tc>
        <w:tc>
          <w:tcPr>
            <w:tcW w:w="679" w:type="pct"/>
            <w:vAlign w:val="center"/>
          </w:tcPr>
          <w:p w14:paraId="525C22AF">
            <w:pPr>
              <w:pStyle w:val="34"/>
              <w:rPr>
                <w:shd w:val="clear" w:color="auto" w:fill="auto"/>
              </w:rPr>
            </w:pPr>
            <w:r>
              <w:rPr>
                <w:rFonts w:hint="eastAsia"/>
                <w:shd w:val="clear" w:color="auto" w:fill="auto"/>
              </w:rPr>
              <w:t>＜4.5</w:t>
            </w:r>
          </w:p>
        </w:tc>
        <w:tc>
          <w:tcPr>
            <w:tcW w:w="665" w:type="pct"/>
            <w:vAlign w:val="center"/>
          </w:tcPr>
          <w:p w14:paraId="33AB71AF">
            <w:pPr>
              <w:pStyle w:val="34"/>
              <w:rPr>
                <w:shd w:val="clear" w:color="auto" w:fill="auto"/>
              </w:rPr>
            </w:pPr>
            <w:r>
              <w:rPr>
                <w:rFonts w:hint="eastAsia"/>
                <w:shd w:val="clear" w:color="auto" w:fill="auto"/>
              </w:rPr>
              <w:t>约束性</w:t>
            </w:r>
          </w:p>
        </w:tc>
      </w:tr>
      <w:tr w14:paraId="285D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vAlign w:val="center"/>
          </w:tcPr>
          <w:p w14:paraId="38F84ADE">
            <w:pPr>
              <w:pStyle w:val="34"/>
              <w:rPr>
                <w:b/>
                <w:shd w:val="clear" w:color="auto" w:fill="auto"/>
              </w:rPr>
            </w:pPr>
            <w:r>
              <w:rPr>
                <w:rFonts w:hint="eastAsia"/>
                <w:b/>
                <w:shd w:val="clear" w:color="auto" w:fill="auto"/>
              </w:rPr>
              <w:t>修复治理</w:t>
            </w:r>
          </w:p>
        </w:tc>
      </w:tr>
      <w:tr w14:paraId="44C6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145E3C46">
            <w:pPr>
              <w:pStyle w:val="34"/>
              <w:rPr>
                <w:shd w:val="clear" w:color="auto" w:fill="auto"/>
              </w:rPr>
            </w:pPr>
            <w:r>
              <w:rPr>
                <w:rFonts w:hint="eastAsia"/>
                <w:shd w:val="clear" w:color="auto" w:fill="auto"/>
              </w:rPr>
              <w:t>7</w:t>
            </w:r>
          </w:p>
        </w:tc>
        <w:tc>
          <w:tcPr>
            <w:tcW w:w="2155" w:type="pct"/>
            <w:vAlign w:val="center"/>
          </w:tcPr>
          <w:p w14:paraId="7E3AFDCD">
            <w:pPr>
              <w:pStyle w:val="34"/>
              <w:rPr>
                <w:shd w:val="clear" w:color="auto" w:fill="auto"/>
              </w:rPr>
            </w:pPr>
            <w:r>
              <w:rPr>
                <w:shd w:val="clear" w:color="auto" w:fill="auto"/>
              </w:rPr>
              <w:t>水功能区</w:t>
            </w:r>
            <w:r>
              <w:rPr>
                <w:rFonts w:hint="eastAsia"/>
                <w:shd w:val="clear" w:color="auto" w:fill="auto"/>
              </w:rPr>
              <w:t>达到或好于</w:t>
            </w:r>
            <w:r>
              <w:rPr>
                <w:rFonts w:cs="Times New Roman"/>
                <w:shd w:val="clear" w:color="auto" w:fill="auto"/>
              </w:rPr>
              <w:t>Ⅱ</w:t>
            </w:r>
            <w:r>
              <w:rPr>
                <w:rFonts w:hint="eastAsia"/>
                <w:shd w:val="clear" w:color="auto" w:fill="auto"/>
              </w:rPr>
              <w:t>类水体比例</w:t>
            </w:r>
          </w:p>
        </w:tc>
        <w:tc>
          <w:tcPr>
            <w:tcW w:w="474" w:type="pct"/>
            <w:vAlign w:val="center"/>
          </w:tcPr>
          <w:p w14:paraId="3827A067">
            <w:pPr>
              <w:pStyle w:val="34"/>
              <w:rPr>
                <w:rFonts w:cs="Times New Roman"/>
                <w:shd w:val="clear" w:color="auto" w:fill="auto"/>
              </w:rPr>
            </w:pPr>
            <w:r>
              <w:rPr>
                <w:rFonts w:hint="eastAsia" w:cs="Times New Roman"/>
                <w:shd w:val="clear" w:color="auto" w:fill="auto"/>
              </w:rPr>
              <w:t>%</w:t>
            </w:r>
          </w:p>
        </w:tc>
        <w:tc>
          <w:tcPr>
            <w:tcW w:w="669" w:type="pct"/>
            <w:vAlign w:val="center"/>
          </w:tcPr>
          <w:p w14:paraId="63415DDE">
            <w:pPr>
              <w:pStyle w:val="34"/>
              <w:rPr>
                <w:shd w:val="clear" w:color="auto" w:fill="auto"/>
              </w:rPr>
            </w:pPr>
            <w:r>
              <w:rPr>
                <w:rFonts w:hint="eastAsia"/>
                <w:shd w:val="clear" w:color="auto" w:fill="auto"/>
              </w:rPr>
              <w:t>1</w:t>
            </w:r>
            <w:r>
              <w:rPr>
                <w:shd w:val="clear" w:color="auto" w:fill="auto"/>
              </w:rPr>
              <w:t>00</w:t>
            </w:r>
          </w:p>
        </w:tc>
        <w:tc>
          <w:tcPr>
            <w:tcW w:w="679" w:type="pct"/>
            <w:vAlign w:val="center"/>
          </w:tcPr>
          <w:p w14:paraId="5DBAEE4E">
            <w:pPr>
              <w:pStyle w:val="34"/>
              <w:rPr>
                <w:shd w:val="clear" w:color="auto" w:fill="auto"/>
              </w:rPr>
            </w:pPr>
            <w:r>
              <w:rPr>
                <w:rFonts w:hint="eastAsia"/>
                <w:shd w:val="clear" w:color="auto" w:fill="auto"/>
              </w:rPr>
              <w:t>1</w:t>
            </w:r>
            <w:r>
              <w:rPr>
                <w:shd w:val="clear" w:color="auto" w:fill="auto"/>
              </w:rPr>
              <w:t>00</w:t>
            </w:r>
          </w:p>
        </w:tc>
        <w:tc>
          <w:tcPr>
            <w:tcW w:w="665" w:type="pct"/>
            <w:vAlign w:val="center"/>
          </w:tcPr>
          <w:p w14:paraId="67550C50">
            <w:pPr>
              <w:pStyle w:val="34"/>
              <w:rPr>
                <w:shd w:val="clear" w:color="auto" w:fill="auto"/>
              </w:rPr>
            </w:pPr>
            <w:r>
              <w:rPr>
                <w:shd w:val="clear" w:color="auto" w:fill="auto"/>
              </w:rPr>
              <w:t>约束性</w:t>
            </w:r>
          </w:p>
        </w:tc>
      </w:tr>
      <w:tr w14:paraId="1014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03D4EB7F">
            <w:pPr>
              <w:pStyle w:val="34"/>
              <w:rPr>
                <w:shd w:val="clear" w:color="auto" w:fill="auto"/>
              </w:rPr>
            </w:pPr>
            <w:r>
              <w:rPr>
                <w:rFonts w:hint="eastAsia"/>
                <w:shd w:val="clear" w:color="auto" w:fill="auto"/>
              </w:rPr>
              <w:t>8</w:t>
            </w:r>
          </w:p>
        </w:tc>
        <w:tc>
          <w:tcPr>
            <w:tcW w:w="2155" w:type="pct"/>
            <w:vAlign w:val="center"/>
          </w:tcPr>
          <w:p w14:paraId="1A5B2554">
            <w:pPr>
              <w:pStyle w:val="34"/>
              <w:rPr>
                <w:shd w:val="clear" w:color="auto" w:fill="auto"/>
              </w:rPr>
            </w:pPr>
            <w:r>
              <w:rPr>
                <w:rFonts w:hint="eastAsia"/>
                <w:shd w:val="clear" w:color="auto" w:fill="auto"/>
              </w:rPr>
              <w:t>城区集中式饮用水水源地水质达标率</w:t>
            </w:r>
          </w:p>
        </w:tc>
        <w:tc>
          <w:tcPr>
            <w:tcW w:w="474" w:type="pct"/>
            <w:vAlign w:val="center"/>
          </w:tcPr>
          <w:p w14:paraId="35B3D837">
            <w:pPr>
              <w:pStyle w:val="34"/>
              <w:rPr>
                <w:shd w:val="clear" w:color="auto" w:fill="auto"/>
              </w:rPr>
            </w:pPr>
            <w:r>
              <w:rPr>
                <w:rFonts w:hint="eastAsia"/>
                <w:shd w:val="clear" w:color="auto" w:fill="auto"/>
              </w:rPr>
              <w:t>%</w:t>
            </w:r>
          </w:p>
        </w:tc>
        <w:tc>
          <w:tcPr>
            <w:tcW w:w="669" w:type="pct"/>
            <w:vAlign w:val="center"/>
          </w:tcPr>
          <w:p w14:paraId="4F7A8182">
            <w:pPr>
              <w:pStyle w:val="34"/>
              <w:rPr>
                <w:shd w:val="clear" w:color="auto" w:fill="auto"/>
              </w:rPr>
            </w:pPr>
            <w:r>
              <w:rPr>
                <w:rFonts w:hint="eastAsia"/>
                <w:shd w:val="clear" w:color="auto" w:fill="auto"/>
              </w:rPr>
              <w:t>1</w:t>
            </w:r>
            <w:r>
              <w:rPr>
                <w:shd w:val="clear" w:color="auto" w:fill="auto"/>
              </w:rPr>
              <w:t>00</w:t>
            </w:r>
          </w:p>
        </w:tc>
        <w:tc>
          <w:tcPr>
            <w:tcW w:w="679" w:type="pct"/>
            <w:vAlign w:val="center"/>
          </w:tcPr>
          <w:p w14:paraId="29C735AA">
            <w:pPr>
              <w:pStyle w:val="34"/>
              <w:rPr>
                <w:shd w:val="clear" w:color="auto" w:fill="auto"/>
              </w:rPr>
            </w:pPr>
            <w:r>
              <w:rPr>
                <w:rFonts w:hint="eastAsia"/>
                <w:shd w:val="clear" w:color="auto" w:fill="auto"/>
              </w:rPr>
              <w:t>1</w:t>
            </w:r>
            <w:r>
              <w:rPr>
                <w:shd w:val="clear" w:color="auto" w:fill="auto"/>
              </w:rPr>
              <w:t>00</w:t>
            </w:r>
          </w:p>
        </w:tc>
        <w:tc>
          <w:tcPr>
            <w:tcW w:w="665" w:type="pct"/>
            <w:vAlign w:val="center"/>
          </w:tcPr>
          <w:p w14:paraId="5A6281A4">
            <w:pPr>
              <w:pStyle w:val="34"/>
              <w:rPr>
                <w:shd w:val="clear" w:color="auto" w:fill="auto"/>
              </w:rPr>
            </w:pPr>
            <w:r>
              <w:rPr>
                <w:rFonts w:hint="eastAsia"/>
                <w:shd w:val="clear" w:color="auto" w:fill="auto"/>
              </w:rPr>
              <w:t>约束性</w:t>
            </w:r>
          </w:p>
        </w:tc>
      </w:tr>
      <w:tr w14:paraId="54DF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748087A9">
            <w:pPr>
              <w:pStyle w:val="34"/>
              <w:rPr>
                <w:shd w:val="clear" w:color="auto" w:fill="auto"/>
              </w:rPr>
            </w:pPr>
            <w:r>
              <w:rPr>
                <w:rFonts w:hint="eastAsia"/>
                <w:shd w:val="clear" w:color="auto" w:fill="auto"/>
              </w:rPr>
              <w:t>9</w:t>
            </w:r>
          </w:p>
        </w:tc>
        <w:tc>
          <w:tcPr>
            <w:tcW w:w="2155" w:type="pct"/>
            <w:vAlign w:val="center"/>
          </w:tcPr>
          <w:p w14:paraId="01E1674B">
            <w:pPr>
              <w:pStyle w:val="34"/>
              <w:rPr>
                <w:shd w:val="clear" w:color="auto" w:fill="auto"/>
              </w:rPr>
            </w:pPr>
            <w:r>
              <w:rPr>
                <w:rFonts w:hint="eastAsia"/>
                <w:shd w:val="clear" w:color="auto" w:fill="auto"/>
              </w:rPr>
              <w:t>空气质量优良率</w:t>
            </w:r>
          </w:p>
        </w:tc>
        <w:tc>
          <w:tcPr>
            <w:tcW w:w="474" w:type="pct"/>
            <w:vAlign w:val="center"/>
          </w:tcPr>
          <w:p w14:paraId="3F445654">
            <w:pPr>
              <w:pStyle w:val="34"/>
              <w:rPr>
                <w:shd w:val="clear" w:color="auto" w:fill="auto"/>
              </w:rPr>
            </w:pPr>
            <w:r>
              <w:rPr>
                <w:rFonts w:hint="eastAsia"/>
                <w:shd w:val="clear" w:color="auto" w:fill="auto"/>
              </w:rPr>
              <w:t>%</w:t>
            </w:r>
          </w:p>
        </w:tc>
        <w:tc>
          <w:tcPr>
            <w:tcW w:w="669" w:type="pct"/>
            <w:vAlign w:val="center"/>
          </w:tcPr>
          <w:p w14:paraId="3BB0A331">
            <w:pPr>
              <w:pStyle w:val="34"/>
              <w:rPr>
                <w:shd w:val="clear" w:color="auto" w:fill="auto"/>
              </w:rPr>
            </w:pPr>
            <w:r>
              <w:rPr>
                <w:rFonts w:hint="eastAsia"/>
                <w:shd w:val="clear" w:color="auto" w:fill="auto"/>
              </w:rPr>
              <w:t>9</w:t>
            </w:r>
            <w:r>
              <w:rPr>
                <w:shd w:val="clear" w:color="auto" w:fill="auto"/>
              </w:rPr>
              <w:t>5.1</w:t>
            </w:r>
          </w:p>
        </w:tc>
        <w:tc>
          <w:tcPr>
            <w:tcW w:w="679" w:type="pct"/>
            <w:vAlign w:val="center"/>
          </w:tcPr>
          <w:p w14:paraId="02717502">
            <w:pPr>
              <w:pStyle w:val="34"/>
              <w:rPr>
                <w:shd w:val="clear" w:color="auto" w:fill="auto"/>
              </w:rPr>
            </w:pPr>
            <w:r>
              <w:rPr>
                <w:shd w:val="clear" w:color="auto" w:fill="auto"/>
              </w:rPr>
              <w:t>＞93.2</w:t>
            </w:r>
          </w:p>
        </w:tc>
        <w:tc>
          <w:tcPr>
            <w:tcW w:w="665" w:type="pct"/>
            <w:vAlign w:val="center"/>
          </w:tcPr>
          <w:p w14:paraId="55A277E9">
            <w:pPr>
              <w:pStyle w:val="34"/>
              <w:rPr>
                <w:shd w:val="clear" w:color="auto" w:fill="auto"/>
              </w:rPr>
            </w:pPr>
            <w:r>
              <w:rPr>
                <w:shd w:val="clear" w:color="auto" w:fill="auto"/>
              </w:rPr>
              <w:t>预期性</w:t>
            </w:r>
          </w:p>
        </w:tc>
      </w:tr>
      <w:tr w14:paraId="6A39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0B802F44">
            <w:pPr>
              <w:pStyle w:val="34"/>
              <w:rPr>
                <w:shd w:val="clear" w:color="auto" w:fill="auto"/>
              </w:rPr>
            </w:pPr>
            <w:r>
              <w:rPr>
                <w:rFonts w:hint="eastAsia"/>
                <w:shd w:val="clear" w:color="auto" w:fill="auto"/>
              </w:rPr>
              <w:t>1</w:t>
            </w:r>
            <w:r>
              <w:rPr>
                <w:shd w:val="clear" w:color="auto" w:fill="auto"/>
              </w:rPr>
              <w:t>0</w:t>
            </w:r>
          </w:p>
        </w:tc>
        <w:tc>
          <w:tcPr>
            <w:tcW w:w="2155" w:type="pct"/>
            <w:vAlign w:val="center"/>
          </w:tcPr>
          <w:p w14:paraId="4FA200C5">
            <w:pPr>
              <w:pStyle w:val="34"/>
              <w:rPr>
                <w:shd w:val="clear" w:color="auto" w:fill="auto"/>
              </w:rPr>
            </w:pPr>
            <w:r>
              <w:rPr>
                <w:rFonts w:hint="eastAsia"/>
                <w:shd w:val="clear" w:color="auto" w:fill="auto"/>
              </w:rPr>
              <w:t>中心城区空气质量优良天数</w:t>
            </w:r>
          </w:p>
        </w:tc>
        <w:tc>
          <w:tcPr>
            <w:tcW w:w="474" w:type="pct"/>
            <w:vAlign w:val="center"/>
          </w:tcPr>
          <w:p w14:paraId="150460D5">
            <w:pPr>
              <w:pStyle w:val="34"/>
              <w:rPr>
                <w:shd w:val="clear" w:color="auto" w:fill="auto"/>
              </w:rPr>
            </w:pPr>
            <w:r>
              <w:rPr>
                <w:shd w:val="clear" w:color="auto" w:fill="auto"/>
              </w:rPr>
              <w:t>天</w:t>
            </w:r>
          </w:p>
        </w:tc>
        <w:tc>
          <w:tcPr>
            <w:tcW w:w="669" w:type="pct"/>
            <w:vAlign w:val="center"/>
          </w:tcPr>
          <w:p w14:paraId="640387FE">
            <w:pPr>
              <w:pStyle w:val="34"/>
              <w:rPr>
                <w:shd w:val="clear" w:color="auto" w:fill="auto"/>
              </w:rPr>
            </w:pPr>
            <w:r>
              <w:rPr>
                <w:rFonts w:hint="eastAsia"/>
                <w:shd w:val="clear" w:color="auto" w:fill="auto"/>
              </w:rPr>
              <w:t>3</w:t>
            </w:r>
            <w:r>
              <w:rPr>
                <w:shd w:val="clear" w:color="auto" w:fill="auto"/>
              </w:rPr>
              <w:t>47</w:t>
            </w:r>
          </w:p>
        </w:tc>
        <w:tc>
          <w:tcPr>
            <w:tcW w:w="679" w:type="pct"/>
            <w:vAlign w:val="center"/>
          </w:tcPr>
          <w:p w14:paraId="76851973">
            <w:pPr>
              <w:pStyle w:val="34"/>
              <w:rPr>
                <w:shd w:val="clear" w:color="auto" w:fill="auto"/>
              </w:rPr>
            </w:pPr>
            <w:r>
              <w:rPr>
                <w:rFonts w:hint="eastAsia"/>
                <w:shd w:val="clear" w:color="auto" w:fill="auto"/>
              </w:rPr>
              <w:t>＞3</w:t>
            </w:r>
            <w:r>
              <w:rPr>
                <w:shd w:val="clear" w:color="auto" w:fill="auto"/>
              </w:rPr>
              <w:t>40</w:t>
            </w:r>
          </w:p>
        </w:tc>
        <w:tc>
          <w:tcPr>
            <w:tcW w:w="665" w:type="pct"/>
            <w:vAlign w:val="center"/>
          </w:tcPr>
          <w:p w14:paraId="6B2E4C7B">
            <w:pPr>
              <w:pStyle w:val="34"/>
              <w:rPr>
                <w:shd w:val="clear" w:color="auto" w:fill="auto"/>
              </w:rPr>
            </w:pPr>
            <w:r>
              <w:rPr>
                <w:shd w:val="clear" w:color="auto" w:fill="auto"/>
              </w:rPr>
              <w:t>预期性</w:t>
            </w:r>
          </w:p>
        </w:tc>
      </w:tr>
      <w:tr w14:paraId="0723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28C27F75">
            <w:pPr>
              <w:pStyle w:val="34"/>
              <w:rPr>
                <w:shd w:val="clear" w:color="auto" w:fill="auto"/>
              </w:rPr>
            </w:pPr>
            <w:r>
              <w:rPr>
                <w:rFonts w:hint="eastAsia"/>
                <w:shd w:val="clear" w:color="auto" w:fill="auto"/>
              </w:rPr>
              <w:t>1</w:t>
            </w:r>
            <w:r>
              <w:rPr>
                <w:shd w:val="clear" w:color="auto" w:fill="auto"/>
              </w:rPr>
              <w:t>1</w:t>
            </w:r>
          </w:p>
        </w:tc>
        <w:tc>
          <w:tcPr>
            <w:tcW w:w="2155" w:type="pct"/>
            <w:vAlign w:val="center"/>
          </w:tcPr>
          <w:p w14:paraId="48A06619">
            <w:pPr>
              <w:pStyle w:val="34"/>
              <w:rPr>
                <w:shd w:val="clear" w:color="auto" w:fill="auto"/>
              </w:rPr>
            </w:pPr>
            <w:r>
              <w:rPr>
                <w:rFonts w:hint="eastAsia"/>
                <w:shd w:val="clear" w:color="auto" w:fill="auto"/>
              </w:rPr>
              <w:t>农村生活污水集中处理率</w:t>
            </w:r>
          </w:p>
        </w:tc>
        <w:tc>
          <w:tcPr>
            <w:tcW w:w="474" w:type="pct"/>
            <w:vAlign w:val="center"/>
          </w:tcPr>
          <w:p w14:paraId="4C79A892">
            <w:pPr>
              <w:pStyle w:val="34"/>
              <w:rPr>
                <w:shd w:val="clear" w:color="auto" w:fill="auto"/>
              </w:rPr>
            </w:pPr>
            <w:r>
              <w:rPr>
                <w:rFonts w:hint="eastAsia"/>
                <w:shd w:val="clear" w:color="auto" w:fill="auto"/>
              </w:rPr>
              <w:t>%</w:t>
            </w:r>
          </w:p>
        </w:tc>
        <w:tc>
          <w:tcPr>
            <w:tcW w:w="669" w:type="pct"/>
            <w:vAlign w:val="center"/>
          </w:tcPr>
          <w:p w14:paraId="7244BA8F">
            <w:pPr>
              <w:pStyle w:val="34"/>
              <w:rPr>
                <w:shd w:val="clear" w:color="auto" w:fill="auto"/>
              </w:rPr>
            </w:pPr>
            <w:r>
              <w:rPr>
                <w:rFonts w:hint="eastAsia"/>
                <w:shd w:val="clear" w:color="auto" w:fill="auto"/>
              </w:rPr>
              <w:t>2</w:t>
            </w:r>
            <w:r>
              <w:rPr>
                <w:shd w:val="clear" w:color="auto" w:fill="auto"/>
              </w:rPr>
              <w:t>0</w:t>
            </w:r>
          </w:p>
        </w:tc>
        <w:tc>
          <w:tcPr>
            <w:tcW w:w="679" w:type="pct"/>
            <w:vAlign w:val="center"/>
          </w:tcPr>
          <w:p w14:paraId="51B5F1C4">
            <w:pPr>
              <w:pStyle w:val="34"/>
              <w:rPr>
                <w:shd w:val="clear" w:color="auto" w:fill="auto"/>
              </w:rPr>
            </w:pPr>
            <w:r>
              <w:rPr>
                <w:rFonts w:hint="eastAsia"/>
                <w:shd w:val="clear" w:color="auto" w:fill="auto"/>
              </w:rPr>
              <w:t>6</w:t>
            </w:r>
            <w:r>
              <w:rPr>
                <w:shd w:val="clear" w:color="auto" w:fill="auto"/>
              </w:rPr>
              <w:t>0</w:t>
            </w:r>
          </w:p>
        </w:tc>
        <w:tc>
          <w:tcPr>
            <w:tcW w:w="665" w:type="pct"/>
            <w:vAlign w:val="center"/>
          </w:tcPr>
          <w:p w14:paraId="4C08C2BF">
            <w:pPr>
              <w:pStyle w:val="34"/>
              <w:rPr>
                <w:shd w:val="clear" w:color="auto" w:fill="auto"/>
              </w:rPr>
            </w:pPr>
            <w:r>
              <w:rPr>
                <w:shd w:val="clear" w:color="auto" w:fill="auto"/>
              </w:rPr>
              <w:t>预期性</w:t>
            </w:r>
          </w:p>
        </w:tc>
      </w:tr>
      <w:tr w14:paraId="2584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0808F753">
            <w:pPr>
              <w:pStyle w:val="34"/>
              <w:rPr>
                <w:shd w:val="clear" w:color="auto" w:fill="auto"/>
              </w:rPr>
            </w:pPr>
            <w:r>
              <w:rPr>
                <w:rFonts w:hint="eastAsia"/>
                <w:shd w:val="clear" w:color="auto" w:fill="auto"/>
              </w:rPr>
              <w:t>1</w:t>
            </w:r>
            <w:r>
              <w:rPr>
                <w:shd w:val="clear" w:color="auto" w:fill="auto"/>
              </w:rPr>
              <w:t>2</w:t>
            </w:r>
          </w:p>
        </w:tc>
        <w:tc>
          <w:tcPr>
            <w:tcW w:w="2155" w:type="pct"/>
            <w:vAlign w:val="center"/>
          </w:tcPr>
          <w:p w14:paraId="5B04E8E4">
            <w:pPr>
              <w:pStyle w:val="34"/>
              <w:rPr>
                <w:shd w:val="clear" w:color="auto" w:fill="auto"/>
              </w:rPr>
            </w:pPr>
            <w:r>
              <w:rPr>
                <w:rFonts w:hint="eastAsia"/>
                <w:shd w:val="clear" w:color="auto" w:fill="auto"/>
              </w:rPr>
              <w:t>县城生活污水集中处理率</w:t>
            </w:r>
          </w:p>
        </w:tc>
        <w:tc>
          <w:tcPr>
            <w:tcW w:w="474" w:type="pct"/>
            <w:vAlign w:val="center"/>
          </w:tcPr>
          <w:p w14:paraId="66676671">
            <w:pPr>
              <w:pStyle w:val="34"/>
              <w:rPr>
                <w:shd w:val="clear" w:color="auto" w:fill="auto"/>
              </w:rPr>
            </w:pPr>
            <w:r>
              <w:rPr>
                <w:rFonts w:hint="eastAsia"/>
                <w:shd w:val="clear" w:color="auto" w:fill="auto"/>
              </w:rPr>
              <w:t>%</w:t>
            </w:r>
          </w:p>
        </w:tc>
        <w:tc>
          <w:tcPr>
            <w:tcW w:w="669" w:type="pct"/>
            <w:vAlign w:val="center"/>
          </w:tcPr>
          <w:p w14:paraId="27D1E14E">
            <w:pPr>
              <w:pStyle w:val="34"/>
              <w:rPr>
                <w:shd w:val="clear" w:color="auto" w:fill="auto"/>
              </w:rPr>
            </w:pPr>
            <w:r>
              <w:rPr>
                <w:rFonts w:hint="eastAsia"/>
                <w:shd w:val="clear" w:color="auto" w:fill="auto"/>
              </w:rPr>
              <w:t>9</w:t>
            </w:r>
            <w:r>
              <w:rPr>
                <w:shd w:val="clear" w:color="auto" w:fill="auto"/>
              </w:rPr>
              <w:t>5</w:t>
            </w:r>
          </w:p>
        </w:tc>
        <w:tc>
          <w:tcPr>
            <w:tcW w:w="679" w:type="pct"/>
            <w:vAlign w:val="center"/>
          </w:tcPr>
          <w:p w14:paraId="39BD4886">
            <w:pPr>
              <w:pStyle w:val="34"/>
              <w:rPr>
                <w:shd w:val="clear" w:color="auto" w:fill="auto"/>
              </w:rPr>
            </w:pPr>
            <w:r>
              <w:rPr>
                <w:rFonts w:hint="eastAsia"/>
                <w:shd w:val="clear" w:color="auto" w:fill="auto"/>
              </w:rPr>
              <w:t>1</w:t>
            </w:r>
            <w:r>
              <w:rPr>
                <w:shd w:val="clear" w:color="auto" w:fill="auto"/>
              </w:rPr>
              <w:t>00</w:t>
            </w:r>
          </w:p>
        </w:tc>
        <w:tc>
          <w:tcPr>
            <w:tcW w:w="665" w:type="pct"/>
            <w:vAlign w:val="center"/>
          </w:tcPr>
          <w:p w14:paraId="2D9418B1">
            <w:pPr>
              <w:pStyle w:val="34"/>
              <w:rPr>
                <w:shd w:val="clear" w:color="auto" w:fill="auto"/>
              </w:rPr>
            </w:pPr>
            <w:r>
              <w:rPr>
                <w:shd w:val="clear" w:color="auto" w:fill="auto"/>
              </w:rPr>
              <w:t>预期性</w:t>
            </w:r>
          </w:p>
        </w:tc>
      </w:tr>
      <w:tr w14:paraId="3CF0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57EF6B21">
            <w:pPr>
              <w:pStyle w:val="34"/>
              <w:rPr>
                <w:shd w:val="clear" w:color="auto" w:fill="auto"/>
              </w:rPr>
            </w:pPr>
            <w:r>
              <w:rPr>
                <w:shd w:val="clear" w:color="auto" w:fill="auto"/>
              </w:rPr>
              <w:t>13</w:t>
            </w:r>
          </w:p>
        </w:tc>
        <w:tc>
          <w:tcPr>
            <w:tcW w:w="2155" w:type="pct"/>
            <w:vAlign w:val="center"/>
          </w:tcPr>
          <w:p w14:paraId="16EDAA15">
            <w:pPr>
              <w:pStyle w:val="34"/>
              <w:rPr>
                <w:shd w:val="clear" w:color="auto" w:fill="auto"/>
              </w:rPr>
            </w:pPr>
            <w:r>
              <w:rPr>
                <w:rFonts w:hint="eastAsia"/>
                <w:shd w:val="clear" w:color="auto" w:fill="auto"/>
              </w:rPr>
              <w:t>历史遗留矿山地质环境治理率</w:t>
            </w:r>
          </w:p>
        </w:tc>
        <w:tc>
          <w:tcPr>
            <w:tcW w:w="474" w:type="pct"/>
            <w:vAlign w:val="center"/>
          </w:tcPr>
          <w:p w14:paraId="36A299FB">
            <w:pPr>
              <w:pStyle w:val="34"/>
              <w:rPr>
                <w:shd w:val="clear" w:color="auto" w:fill="auto"/>
              </w:rPr>
            </w:pPr>
            <w:r>
              <w:rPr>
                <w:rFonts w:hint="eastAsia"/>
                <w:shd w:val="clear" w:color="auto" w:fill="auto"/>
              </w:rPr>
              <w:t>%</w:t>
            </w:r>
          </w:p>
        </w:tc>
        <w:tc>
          <w:tcPr>
            <w:tcW w:w="669" w:type="pct"/>
            <w:vAlign w:val="center"/>
          </w:tcPr>
          <w:p w14:paraId="16FA0E6C">
            <w:pPr>
              <w:pStyle w:val="34"/>
              <w:rPr>
                <w:shd w:val="clear" w:color="auto" w:fill="auto"/>
              </w:rPr>
            </w:pPr>
            <w:r>
              <w:rPr>
                <w:rFonts w:hint="eastAsia"/>
                <w:shd w:val="clear" w:color="auto" w:fill="auto"/>
              </w:rPr>
              <w:t>-</w:t>
            </w:r>
          </w:p>
        </w:tc>
        <w:tc>
          <w:tcPr>
            <w:tcW w:w="679" w:type="pct"/>
            <w:vAlign w:val="center"/>
          </w:tcPr>
          <w:p w14:paraId="12080FB7">
            <w:pPr>
              <w:pStyle w:val="34"/>
              <w:rPr>
                <w:shd w:val="clear" w:color="auto" w:fill="auto"/>
              </w:rPr>
            </w:pPr>
            <w:r>
              <w:rPr>
                <w:rFonts w:hint="eastAsia"/>
                <w:shd w:val="clear" w:color="auto" w:fill="auto"/>
              </w:rPr>
              <w:t>≥50</w:t>
            </w:r>
          </w:p>
        </w:tc>
        <w:tc>
          <w:tcPr>
            <w:tcW w:w="665" w:type="pct"/>
            <w:vAlign w:val="center"/>
          </w:tcPr>
          <w:p w14:paraId="5A4FA816">
            <w:pPr>
              <w:pStyle w:val="34"/>
              <w:rPr>
                <w:shd w:val="clear" w:color="auto" w:fill="auto"/>
              </w:rPr>
            </w:pPr>
            <w:r>
              <w:rPr>
                <w:rFonts w:hint="eastAsia"/>
                <w:shd w:val="clear" w:color="auto" w:fill="auto"/>
              </w:rPr>
              <w:t>约束性</w:t>
            </w:r>
          </w:p>
        </w:tc>
      </w:tr>
      <w:tr w14:paraId="0289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vAlign w:val="center"/>
          </w:tcPr>
          <w:p w14:paraId="65297567">
            <w:pPr>
              <w:pStyle w:val="34"/>
              <w:rPr>
                <w:b/>
                <w:shd w:val="clear" w:color="auto" w:fill="auto"/>
              </w:rPr>
            </w:pPr>
            <w:r>
              <w:rPr>
                <w:rFonts w:hint="eastAsia"/>
                <w:b/>
                <w:shd w:val="clear" w:color="auto" w:fill="auto"/>
              </w:rPr>
              <w:t>绿色发展</w:t>
            </w:r>
          </w:p>
        </w:tc>
      </w:tr>
      <w:tr w14:paraId="7C50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7DB919C5">
            <w:pPr>
              <w:pStyle w:val="34"/>
              <w:rPr>
                <w:shd w:val="clear" w:color="auto" w:fill="auto"/>
              </w:rPr>
            </w:pPr>
            <w:r>
              <w:rPr>
                <w:shd w:val="clear" w:color="auto" w:fill="auto"/>
              </w:rPr>
              <w:t>14</w:t>
            </w:r>
          </w:p>
        </w:tc>
        <w:tc>
          <w:tcPr>
            <w:tcW w:w="2155" w:type="pct"/>
            <w:vAlign w:val="center"/>
          </w:tcPr>
          <w:p w14:paraId="411EA171">
            <w:pPr>
              <w:pStyle w:val="34"/>
              <w:rPr>
                <w:shd w:val="clear" w:color="auto" w:fill="auto"/>
              </w:rPr>
            </w:pPr>
            <w:r>
              <w:rPr>
                <w:rFonts w:hint="eastAsia"/>
                <w:shd w:val="clear" w:color="auto" w:fill="auto"/>
              </w:rPr>
              <w:t>单位生产总值能耗降低率</w:t>
            </w:r>
          </w:p>
        </w:tc>
        <w:tc>
          <w:tcPr>
            <w:tcW w:w="474" w:type="pct"/>
            <w:vAlign w:val="center"/>
          </w:tcPr>
          <w:p w14:paraId="4F2434CE">
            <w:pPr>
              <w:pStyle w:val="34"/>
              <w:rPr>
                <w:shd w:val="clear" w:color="auto" w:fill="auto"/>
              </w:rPr>
            </w:pPr>
            <w:r>
              <w:rPr>
                <w:rFonts w:hint="eastAsia"/>
                <w:shd w:val="clear" w:color="auto" w:fill="auto"/>
              </w:rPr>
              <w:t>%</w:t>
            </w:r>
          </w:p>
        </w:tc>
        <w:tc>
          <w:tcPr>
            <w:tcW w:w="669" w:type="pct"/>
            <w:vAlign w:val="center"/>
          </w:tcPr>
          <w:p w14:paraId="3B0AAAFD">
            <w:pPr>
              <w:pStyle w:val="34"/>
              <w:rPr>
                <w:shd w:val="clear" w:color="auto" w:fill="auto"/>
              </w:rPr>
            </w:pPr>
            <w:r>
              <w:rPr>
                <w:shd w:val="clear" w:color="auto" w:fill="auto"/>
              </w:rPr>
              <w:t>6.13</w:t>
            </w:r>
          </w:p>
        </w:tc>
        <w:tc>
          <w:tcPr>
            <w:tcW w:w="679" w:type="pct"/>
            <w:vAlign w:val="center"/>
          </w:tcPr>
          <w:p w14:paraId="234E71D2">
            <w:pPr>
              <w:pStyle w:val="34"/>
              <w:rPr>
                <w:shd w:val="clear" w:color="auto" w:fill="auto"/>
              </w:rPr>
            </w:pPr>
            <w:r>
              <w:rPr>
                <w:rFonts w:hint="eastAsia"/>
                <w:shd w:val="clear" w:color="auto" w:fill="auto"/>
              </w:rPr>
              <w:t>8</w:t>
            </w:r>
            <w:r>
              <w:rPr>
                <w:shd w:val="clear" w:color="auto" w:fill="auto"/>
              </w:rPr>
              <w:t>.0</w:t>
            </w:r>
          </w:p>
        </w:tc>
        <w:tc>
          <w:tcPr>
            <w:tcW w:w="665" w:type="pct"/>
            <w:vAlign w:val="center"/>
          </w:tcPr>
          <w:p w14:paraId="13714AD3">
            <w:pPr>
              <w:pStyle w:val="34"/>
              <w:rPr>
                <w:shd w:val="clear" w:color="auto" w:fill="auto"/>
              </w:rPr>
            </w:pPr>
            <w:r>
              <w:rPr>
                <w:rFonts w:hint="eastAsia"/>
                <w:shd w:val="clear" w:color="auto" w:fill="auto"/>
              </w:rPr>
              <w:t>预期性</w:t>
            </w:r>
          </w:p>
        </w:tc>
      </w:tr>
      <w:tr w14:paraId="2889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2F28826A">
            <w:pPr>
              <w:pStyle w:val="34"/>
              <w:rPr>
                <w:shd w:val="clear" w:color="auto" w:fill="auto"/>
              </w:rPr>
            </w:pPr>
            <w:r>
              <w:rPr>
                <w:shd w:val="clear" w:color="auto" w:fill="auto"/>
              </w:rPr>
              <w:t>15</w:t>
            </w:r>
          </w:p>
        </w:tc>
        <w:tc>
          <w:tcPr>
            <w:tcW w:w="2155" w:type="pct"/>
            <w:vAlign w:val="center"/>
          </w:tcPr>
          <w:p w14:paraId="401FF872">
            <w:pPr>
              <w:pStyle w:val="34"/>
              <w:rPr>
                <w:shd w:val="clear" w:color="auto" w:fill="auto"/>
              </w:rPr>
            </w:pPr>
            <w:r>
              <w:rPr>
                <w:rFonts w:hint="eastAsia"/>
                <w:shd w:val="clear" w:color="auto" w:fill="auto"/>
              </w:rPr>
              <w:t>服务业增加值占GDP比重</w:t>
            </w:r>
          </w:p>
        </w:tc>
        <w:tc>
          <w:tcPr>
            <w:tcW w:w="474" w:type="pct"/>
            <w:vAlign w:val="center"/>
          </w:tcPr>
          <w:p w14:paraId="258B0262">
            <w:pPr>
              <w:pStyle w:val="34"/>
              <w:rPr>
                <w:shd w:val="clear" w:color="auto" w:fill="auto"/>
              </w:rPr>
            </w:pPr>
            <w:r>
              <w:rPr>
                <w:rFonts w:hint="eastAsia"/>
                <w:shd w:val="clear" w:color="auto" w:fill="auto"/>
              </w:rPr>
              <w:t>%</w:t>
            </w:r>
          </w:p>
        </w:tc>
        <w:tc>
          <w:tcPr>
            <w:tcW w:w="669" w:type="pct"/>
            <w:vAlign w:val="center"/>
          </w:tcPr>
          <w:p w14:paraId="60E742B1">
            <w:pPr>
              <w:pStyle w:val="34"/>
              <w:rPr>
                <w:shd w:val="clear" w:color="auto" w:fill="auto"/>
              </w:rPr>
            </w:pPr>
            <w:r>
              <w:rPr>
                <w:rFonts w:hint="eastAsia"/>
                <w:shd w:val="clear" w:color="auto" w:fill="auto"/>
              </w:rPr>
              <w:t>3</w:t>
            </w:r>
            <w:r>
              <w:rPr>
                <w:shd w:val="clear" w:color="auto" w:fill="auto"/>
              </w:rPr>
              <w:t>9.2</w:t>
            </w:r>
          </w:p>
        </w:tc>
        <w:tc>
          <w:tcPr>
            <w:tcW w:w="679" w:type="pct"/>
            <w:vAlign w:val="center"/>
          </w:tcPr>
          <w:p w14:paraId="22F65905">
            <w:pPr>
              <w:pStyle w:val="34"/>
              <w:rPr>
                <w:shd w:val="clear" w:color="auto" w:fill="auto"/>
              </w:rPr>
            </w:pPr>
            <w:r>
              <w:rPr>
                <w:rFonts w:hint="eastAsia"/>
                <w:shd w:val="clear" w:color="auto" w:fill="auto"/>
              </w:rPr>
              <w:t>＞4</w:t>
            </w:r>
            <w:r>
              <w:rPr>
                <w:shd w:val="clear" w:color="auto" w:fill="auto"/>
              </w:rPr>
              <w:t>0</w:t>
            </w:r>
          </w:p>
        </w:tc>
        <w:tc>
          <w:tcPr>
            <w:tcW w:w="665" w:type="pct"/>
            <w:vAlign w:val="center"/>
          </w:tcPr>
          <w:p w14:paraId="5FC1CAB0">
            <w:pPr>
              <w:pStyle w:val="34"/>
              <w:rPr>
                <w:shd w:val="clear" w:color="auto" w:fill="auto"/>
              </w:rPr>
            </w:pPr>
            <w:r>
              <w:rPr>
                <w:rFonts w:hint="eastAsia"/>
                <w:shd w:val="clear" w:color="auto" w:fill="auto"/>
              </w:rPr>
              <w:t>预期性</w:t>
            </w:r>
          </w:p>
        </w:tc>
      </w:tr>
      <w:tr w14:paraId="6A98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459C6B43">
            <w:pPr>
              <w:pStyle w:val="34"/>
              <w:rPr>
                <w:shd w:val="clear" w:color="auto" w:fill="auto"/>
              </w:rPr>
            </w:pPr>
            <w:r>
              <w:rPr>
                <w:shd w:val="clear" w:color="auto" w:fill="auto"/>
              </w:rPr>
              <w:t>16</w:t>
            </w:r>
          </w:p>
        </w:tc>
        <w:tc>
          <w:tcPr>
            <w:tcW w:w="2155" w:type="pct"/>
            <w:vAlign w:val="center"/>
          </w:tcPr>
          <w:p w14:paraId="1CCBC38E">
            <w:pPr>
              <w:pStyle w:val="34"/>
              <w:rPr>
                <w:shd w:val="clear" w:color="auto" w:fill="auto"/>
              </w:rPr>
            </w:pPr>
            <w:r>
              <w:rPr>
                <w:rFonts w:hint="eastAsia"/>
                <w:shd w:val="clear" w:color="auto" w:fill="auto"/>
              </w:rPr>
              <w:t>省级全域旅游示范区</w:t>
            </w:r>
          </w:p>
        </w:tc>
        <w:tc>
          <w:tcPr>
            <w:tcW w:w="474" w:type="pct"/>
            <w:vAlign w:val="center"/>
          </w:tcPr>
          <w:p w14:paraId="5019ECBC">
            <w:pPr>
              <w:pStyle w:val="34"/>
              <w:rPr>
                <w:shd w:val="clear" w:color="auto" w:fill="auto"/>
              </w:rPr>
            </w:pPr>
            <w:r>
              <w:rPr>
                <w:rFonts w:hint="eastAsia"/>
                <w:shd w:val="clear" w:color="auto" w:fill="auto"/>
              </w:rPr>
              <w:t>/</w:t>
            </w:r>
          </w:p>
        </w:tc>
        <w:tc>
          <w:tcPr>
            <w:tcW w:w="669" w:type="pct"/>
            <w:vAlign w:val="center"/>
          </w:tcPr>
          <w:p w14:paraId="0D9BD373">
            <w:pPr>
              <w:pStyle w:val="34"/>
              <w:rPr>
                <w:shd w:val="clear" w:color="auto" w:fill="auto"/>
              </w:rPr>
            </w:pPr>
            <w:r>
              <w:rPr>
                <w:rFonts w:hint="eastAsia"/>
                <w:shd w:val="clear" w:color="auto" w:fill="auto"/>
              </w:rPr>
              <w:t>-</w:t>
            </w:r>
          </w:p>
        </w:tc>
        <w:tc>
          <w:tcPr>
            <w:tcW w:w="679" w:type="pct"/>
            <w:vAlign w:val="center"/>
          </w:tcPr>
          <w:p w14:paraId="2E0B8C84">
            <w:pPr>
              <w:pStyle w:val="34"/>
              <w:rPr>
                <w:shd w:val="clear" w:color="auto" w:fill="auto"/>
              </w:rPr>
            </w:pPr>
            <w:r>
              <w:rPr>
                <w:shd w:val="clear" w:color="auto" w:fill="auto"/>
              </w:rPr>
              <w:t>成功创建</w:t>
            </w:r>
          </w:p>
        </w:tc>
        <w:tc>
          <w:tcPr>
            <w:tcW w:w="665" w:type="pct"/>
            <w:vAlign w:val="center"/>
          </w:tcPr>
          <w:p w14:paraId="0C1A5E1A">
            <w:pPr>
              <w:pStyle w:val="34"/>
              <w:rPr>
                <w:shd w:val="clear" w:color="auto" w:fill="auto"/>
              </w:rPr>
            </w:pPr>
            <w:r>
              <w:rPr>
                <w:rFonts w:hint="eastAsia"/>
                <w:shd w:val="clear" w:color="auto" w:fill="auto"/>
              </w:rPr>
              <w:t>预期性</w:t>
            </w:r>
          </w:p>
        </w:tc>
      </w:tr>
      <w:tr w14:paraId="686D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009C3884">
            <w:pPr>
              <w:pStyle w:val="34"/>
              <w:rPr>
                <w:shd w:val="clear" w:color="auto" w:fill="auto"/>
              </w:rPr>
            </w:pPr>
            <w:r>
              <w:rPr>
                <w:shd w:val="clear" w:color="auto" w:fill="auto"/>
              </w:rPr>
              <w:t>17</w:t>
            </w:r>
          </w:p>
        </w:tc>
        <w:tc>
          <w:tcPr>
            <w:tcW w:w="2155" w:type="pct"/>
            <w:vAlign w:val="center"/>
          </w:tcPr>
          <w:p w14:paraId="0430C2CC">
            <w:pPr>
              <w:pStyle w:val="34"/>
              <w:rPr>
                <w:shd w:val="clear" w:color="auto" w:fill="auto"/>
              </w:rPr>
            </w:pPr>
            <w:r>
              <w:rPr>
                <w:rFonts w:hint="eastAsia"/>
                <w:shd w:val="clear" w:color="auto" w:fill="auto"/>
              </w:rPr>
              <w:t>创建国家4A级旅游景区（省级旅游度假区）数量</w:t>
            </w:r>
          </w:p>
        </w:tc>
        <w:tc>
          <w:tcPr>
            <w:tcW w:w="474" w:type="pct"/>
            <w:vAlign w:val="center"/>
          </w:tcPr>
          <w:p w14:paraId="5DADD158">
            <w:pPr>
              <w:pStyle w:val="34"/>
              <w:rPr>
                <w:shd w:val="clear" w:color="auto" w:fill="auto"/>
              </w:rPr>
            </w:pPr>
            <w:r>
              <w:rPr>
                <w:shd w:val="clear" w:color="auto" w:fill="auto"/>
              </w:rPr>
              <w:t>个</w:t>
            </w:r>
          </w:p>
        </w:tc>
        <w:tc>
          <w:tcPr>
            <w:tcW w:w="669" w:type="pct"/>
            <w:vAlign w:val="center"/>
          </w:tcPr>
          <w:p w14:paraId="7044FC02">
            <w:pPr>
              <w:pStyle w:val="34"/>
              <w:rPr>
                <w:shd w:val="clear" w:color="auto" w:fill="auto"/>
              </w:rPr>
            </w:pPr>
            <w:r>
              <w:rPr>
                <w:rFonts w:hint="eastAsia"/>
                <w:shd w:val="clear" w:color="auto" w:fill="auto"/>
              </w:rPr>
              <w:t>［</w:t>
            </w:r>
            <w:r>
              <w:rPr>
                <w:shd w:val="clear" w:color="auto" w:fill="auto"/>
              </w:rPr>
              <w:t>3</w:t>
            </w:r>
            <w:r>
              <w:rPr>
                <w:rFonts w:hint="eastAsia"/>
                <w:shd w:val="clear" w:color="auto" w:fill="auto"/>
              </w:rPr>
              <w:t>］</w:t>
            </w:r>
          </w:p>
        </w:tc>
        <w:tc>
          <w:tcPr>
            <w:tcW w:w="679" w:type="pct"/>
            <w:vAlign w:val="center"/>
          </w:tcPr>
          <w:p w14:paraId="2184CDEB">
            <w:pPr>
              <w:pStyle w:val="34"/>
              <w:rPr>
                <w:shd w:val="clear" w:color="auto" w:fill="auto"/>
              </w:rPr>
            </w:pPr>
            <w:r>
              <w:rPr>
                <w:rFonts w:hint="eastAsia"/>
                <w:shd w:val="clear" w:color="auto" w:fill="auto"/>
              </w:rPr>
              <w:t>［</w:t>
            </w:r>
            <w:r>
              <w:rPr>
                <w:shd w:val="clear" w:color="auto" w:fill="auto"/>
              </w:rPr>
              <w:t>3</w:t>
            </w:r>
            <w:r>
              <w:rPr>
                <w:rFonts w:hint="eastAsia"/>
                <w:shd w:val="clear" w:color="auto" w:fill="auto"/>
              </w:rPr>
              <w:t>］</w:t>
            </w:r>
          </w:p>
        </w:tc>
        <w:tc>
          <w:tcPr>
            <w:tcW w:w="665" w:type="pct"/>
            <w:vAlign w:val="center"/>
          </w:tcPr>
          <w:p w14:paraId="7EDC6724">
            <w:pPr>
              <w:pStyle w:val="34"/>
              <w:rPr>
                <w:shd w:val="clear" w:color="auto" w:fill="auto"/>
              </w:rPr>
            </w:pPr>
            <w:r>
              <w:rPr>
                <w:rFonts w:hint="eastAsia"/>
                <w:shd w:val="clear" w:color="auto" w:fill="auto"/>
              </w:rPr>
              <w:t>预期性</w:t>
            </w:r>
          </w:p>
        </w:tc>
      </w:tr>
      <w:tr w14:paraId="4E76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56975A97">
            <w:pPr>
              <w:pStyle w:val="34"/>
              <w:rPr>
                <w:shd w:val="clear" w:color="auto" w:fill="auto"/>
              </w:rPr>
            </w:pPr>
            <w:r>
              <w:rPr>
                <w:shd w:val="clear" w:color="auto" w:fill="auto"/>
              </w:rPr>
              <w:t>18</w:t>
            </w:r>
          </w:p>
        </w:tc>
        <w:tc>
          <w:tcPr>
            <w:tcW w:w="2155" w:type="pct"/>
            <w:vAlign w:val="center"/>
          </w:tcPr>
          <w:p w14:paraId="077B3F81">
            <w:pPr>
              <w:pStyle w:val="34"/>
              <w:rPr>
                <w:shd w:val="clear" w:color="auto" w:fill="auto"/>
              </w:rPr>
            </w:pPr>
            <w:r>
              <w:rPr>
                <w:rFonts w:hint="eastAsia"/>
                <w:shd w:val="clear" w:color="auto" w:fill="auto"/>
              </w:rPr>
              <w:t>研究与试验发展经费投入强度</w:t>
            </w:r>
          </w:p>
        </w:tc>
        <w:tc>
          <w:tcPr>
            <w:tcW w:w="474" w:type="pct"/>
            <w:vAlign w:val="center"/>
          </w:tcPr>
          <w:p w14:paraId="1E3FF9E1">
            <w:pPr>
              <w:pStyle w:val="34"/>
              <w:rPr>
                <w:shd w:val="clear" w:color="auto" w:fill="auto"/>
              </w:rPr>
            </w:pPr>
            <w:r>
              <w:rPr>
                <w:rFonts w:hint="eastAsia"/>
                <w:shd w:val="clear" w:color="auto" w:fill="auto"/>
              </w:rPr>
              <w:t>%</w:t>
            </w:r>
          </w:p>
        </w:tc>
        <w:tc>
          <w:tcPr>
            <w:tcW w:w="669" w:type="pct"/>
            <w:vAlign w:val="center"/>
          </w:tcPr>
          <w:p w14:paraId="1761E131">
            <w:pPr>
              <w:pStyle w:val="34"/>
              <w:rPr>
                <w:shd w:val="clear" w:color="auto" w:fill="auto"/>
              </w:rPr>
            </w:pPr>
            <w:r>
              <w:rPr>
                <w:rFonts w:hint="eastAsia"/>
                <w:shd w:val="clear" w:color="auto" w:fill="auto"/>
              </w:rPr>
              <w:t>0</w:t>
            </w:r>
            <w:r>
              <w:rPr>
                <w:shd w:val="clear" w:color="auto" w:fill="auto"/>
              </w:rPr>
              <w:t>.2</w:t>
            </w:r>
          </w:p>
        </w:tc>
        <w:tc>
          <w:tcPr>
            <w:tcW w:w="679" w:type="pct"/>
            <w:vAlign w:val="center"/>
          </w:tcPr>
          <w:p w14:paraId="2108CDF9">
            <w:pPr>
              <w:pStyle w:val="34"/>
              <w:rPr>
                <w:shd w:val="clear" w:color="auto" w:fill="auto"/>
              </w:rPr>
            </w:pPr>
            <w:r>
              <w:rPr>
                <w:rFonts w:hint="eastAsia"/>
                <w:shd w:val="clear" w:color="auto" w:fill="auto"/>
              </w:rPr>
              <w:t>≥</w:t>
            </w:r>
            <w:r>
              <w:rPr>
                <w:shd w:val="clear" w:color="auto" w:fill="auto"/>
              </w:rPr>
              <w:t>1</w:t>
            </w:r>
          </w:p>
        </w:tc>
        <w:tc>
          <w:tcPr>
            <w:tcW w:w="665" w:type="pct"/>
            <w:vAlign w:val="center"/>
          </w:tcPr>
          <w:p w14:paraId="69D293A2">
            <w:pPr>
              <w:pStyle w:val="34"/>
              <w:rPr>
                <w:shd w:val="clear" w:color="auto" w:fill="auto"/>
              </w:rPr>
            </w:pPr>
            <w:r>
              <w:rPr>
                <w:rFonts w:hint="eastAsia"/>
                <w:shd w:val="clear" w:color="auto" w:fill="auto"/>
              </w:rPr>
              <w:t>预期性</w:t>
            </w:r>
          </w:p>
        </w:tc>
      </w:tr>
      <w:tr w14:paraId="6D34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vAlign w:val="center"/>
          </w:tcPr>
          <w:p w14:paraId="38FD6C66">
            <w:pPr>
              <w:pStyle w:val="34"/>
              <w:rPr>
                <w:b/>
                <w:shd w:val="clear" w:color="auto" w:fill="auto"/>
              </w:rPr>
            </w:pPr>
            <w:r>
              <w:rPr>
                <w:rFonts w:hint="eastAsia"/>
                <w:b/>
                <w:shd w:val="clear" w:color="auto" w:fill="auto"/>
              </w:rPr>
              <w:t>民生福祉</w:t>
            </w:r>
          </w:p>
        </w:tc>
      </w:tr>
      <w:tr w14:paraId="0E0A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0B2F5FA1">
            <w:pPr>
              <w:pStyle w:val="34"/>
              <w:rPr>
                <w:shd w:val="clear" w:color="auto" w:fill="auto"/>
              </w:rPr>
            </w:pPr>
            <w:r>
              <w:rPr>
                <w:shd w:val="clear" w:color="auto" w:fill="auto"/>
              </w:rPr>
              <w:t>19</w:t>
            </w:r>
          </w:p>
        </w:tc>
        <w:tc>
          <w:tcPr>
            <w:tcW w:w="2155" w:type="pct"/>
            <w:vAlign w:val="center"/>
          </w:tcPr>
          <w:p w14:paraId="33745312">
            <w:pPr>
              <w:pStyle w:val="34"/>
              <w:rPr>
                <w:shd w:val="clear" w:color="auto" w:fill="auto"/>
              </w:rPr>
            </w:pPr>
            <w:r>
              <w:rPr>
                <w:rFonts w:hint="eastAsia"/>
                <w:shd w:val="clear" w:color="auto" w:fill="auto"/>
              </w:rPr>
              <w:t>居民人均可支配收入年均增长率</w:t>
            </w:r>
          </w:p>
        </w:tc>
        <w:tc>
          <w:tcPr>
            <w:tcW w:w="474" w:type="pct"/>
            <w:vAlign w:val="center"/>
          </w:tcPr>
          <w:p w14:paraId="10A39A21">
            <w:pPr>
              <w:pStyle w:val="34"/>
              <w:rPr>
                <w:shd w:val="clear" w:color="auto" w:fill="auto"/>
              </w:rPr>
            </w:pPr>
            <w:r>
              <w:rPr>
                <w:rFonts w:hint="eastAsia"/>
                <w:shd w:val="clear" w:color="auto" w:fill="auto"/>
              </w:rPr>
              <w:t>%</w:t>
            </w:r>
          </w:p>
        </w:tc>
        <w:tc>
          <w:tcPr>
            <w:tcW w:w="669" w:type="pct"/>
            <w:vAlign w:val="center"/>
          </w:tcPr>
          <w:p w14:paraId="6F5CAD7E">
            <w:pPr>
              <w:pStyle w:val="34"/>
              <w:rPr>
                <w:shd w:val="clear" w:color="auto" w:fill="auto"/>
              </w:rPr>
            </w:pPr>
            <w:r>
              <w:rPr>
                <w:shd w:val="clear" w:color="auto" w:fill="auto"/>
              </w:rPr>
              <w:t>10.0</w:t>
            </w:r>
          </w:p>
        </w:tc>
        <w:tc>
          <w:tcPr>
            <w:tcW w:w="679" w:type="pct"/>
            <w:vAlign w:val="center"/>
          </w:tcPr>
          <w:p w14:paraId="51789BE1">
            <w:pPr>
              <w:pStyle w:val="34"/>
              <w:rPr>
                <w:shd w:val="clear" w:color="auto" w:fill="auto"/>
              </w:rPr>
            </w:pPr>
            <w:r>
              <w:rPr>
                <w:rFonts w:hint="eastAsia"/>
                <w:shd w:val="clear" w:color="auto" w:fill="auto"/>
              </w:rPr>
              <w:t>＞7</w:t>
            </w:r>
          </w:p>
        </w:tc>
        <w:tc>
          <w:tcPr>
            <w:tcW w:w="665" w:type="pct"/>
            <w:vAlign w:val="center"/>
          </w:tcPr>
          <w:p w14:paraId="1B00F02A">
            <w:pPr>
              <w:pStyle w:val="34"/>
              <w:rPr>
                <w:shd w:val="clear" w:color="auto" w:fill="auto"/>
              </w:rPr>
            </w:pPr>
            <w:r>
              <w:rPr>
                <w:rFonts w:hint="eastAsia"/>
                <w:shd w:val="clear" w:color="auto" w:fill="auto"/>
              </w:rPr>
              <w:t>预期性</w:t>
            </w:r>
          </w:p>
        </w:tc>
      </w:tr>
      <w:tr w14:paraId="7203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3AF42E56">
            <w:pPr>
              <w:pStyle w:val="34"/>
              <w:rPr>
                <w:shd w:val="clear" w:color="auto" w:fill="auto"/>
              </w:rPr>
            </w:pPr>
            <w:r>
              <w:rPr>
                <w:shd w:val="clear" w:color="auto" w:fill="auto"/>
              </w:rPr>
              <w:t>20</w:t>
            </w:r>
          </w:p>
        </w:tc>
        <w:tc>
          <w:tcPr>
            <w:tcW w:w="2155" w:type="pct"/>
            <w:vAlign w:val="center"/>
          </w:tcPr>
          <w:p w14:paraId="44A268AB">
            <w:pPr>
              <w:pStyle w:val="34"/>
              <w:rPr>
                <w:shd w:val="clear" w:color="auto" w:fill="auto"/>
              </w:rPr>
            </w:pPr>
            <w:r>
              <w:rPr>
                <w:rFonts w:hint="eastAsia"/>
                <w:shd w:val="clear" w:color="auto" w:fill="auto"/>
              </w:rPr>
              <w:t>劳动年龄人口平均受教育年限</w:t>
            </w:r>
          </w:p>
        </w:tc>
        <w:tc>
          <w:tcPr>
            <w:tcW w:w="474" w:type="pct"/>
            <w:vAlign w:val="center"/>
          </w:tcPr>
          <w:p w14:paraId="25963047">
            <w:pPr>
              <w:pStyle w:val="34"/>
              <w:rPr>
                <w:shd w:val="clear" w:color="auto" w:fill="auto"/>
              </w:rPr>
            </w:pPr>
            <w:r>
              <w:rPr>
                <w:shd w:val="clear" w:color="auto" w:fill="auto"/>
              </w:rPr>
              <w:t>年</w:t>
            </w:r>
          </w:p>
        </w:tc>
        <w:tc>
          <w:tcPr>
            <w:tcW w:w="669" w:type="pct"/>
            <w:vAlign w:val="center"/>
          </w:tcPr>
          <w:p w14:paraId="0DC6EA90">
            <w:pPr>
              <w:pStyle w:val="34"/>
              <w:rPr>
                <w:shd w:val="clear" w:color="auto" w:fill="auto"/>
              </w:rPr>
            </w:pPr>
            <w:r>
              <w:rPr>
                <w:rFonts w:hint="eastAsia"/>
                <w:shd w:val="clear" w:color="auto" w:fill="auto"/>
              </w:rPr>
              <w:t>-</w:t>
            </w:r>
          </w:p>
        </w:tc>
        <w:tc>
          <w:tcPr>
            <w:tcW w:w="679" w:type="pct"/>
            <w:vAlign w:val="center"/>
          </w:tcPr>
          <w:p w14:paraId="232156D4">
            <w:pPr>
              <w:pStyle w:val="34"/>
              <w:rPr>
                <w:shd w:val="clear" w:color="auto" w:fill="auto"/>
              </w:rPr>
            </w:pPr>
            <w:r>
              <w:rPr>
                <w:rFonts w:hint="eastAsia"/>
                <w:shd w:val="clear" w:color="auto" w:fill="auto"/>
              </w:rPr>
              <w:t>＞14</w:t>
            </w:r>
          </w:p>
        </w:tc>
        <w:tc>
          <w:tcPr>
            <w:tcW w:w="665" w:type="pct"/>
            <w:vAlign w:val="center"/>
          </w:tcPr>
          <w:p w14:paraId="510CC58D">
            <w:pPr>
              <w:pStyle w:val="34"/>
              <w:rPr>
                <w:shd w:val="clear" w:color="auto" w:fill="auto"/>
              </w:rPr>
            </w:pPr>
            <w:r>
              <w:rPr>
                <w:rFonts w:hint="eastAsia"/>
                <w:shd w:val="clear" w:color="auto" w:fill="auto"/>
              </w:rPr>
              <w:t>预期性</w:t>
            </w:r>
          </w:p>
        </w:tc>
      </w:tr>
      <w:tr w14:paraId="74D8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0ED5FFD5">
            <w:pPr>
              <w:pStyle w:val="34"/>
              <w:rPr>
                <w:shd w:val="clear" w:color="auto" w:fill="auto"/>
              </w:rPr>
            </w:pPr>
            <w:r>
              <w:rPr>
                <w:shd w:val="clear" w:color="auto" w:fill="auto"/>
              </w:rPr>
              <w:t>21</w:t>
            </w:r>
          </w:p>
        </w:tc>
        <w:tc>
          <w:tcPr>
            <w:tcW w:w="2155" w:type="pct"/>
            <w:vAlign w:val="center"/>
          </w:tcPr>
          <w:p w14:paraId="42C434F8">
            <w:pPr>
              <w:pStyle w:val="34"/>
              <w:rPr>
                <w:shd w:val="clear" w:color="auto" w:fill="auto"/>
              </w:rPr>
            </w:pPr>
            <w:r>
              <w:rPr>
                <w:rFonts w:hint="eastAsia"/>
                <w:shd w:val="clear" w:color="auto" w:fill="auto"/>
              </w:rPr>
              <w:t>人均预期寿命</w:t>
            </w:r>
          </w:p>
        </w:tc>
        <w:tc>
          <w:tcPr>
            <w:tcW w:w="474" w:type="pct"/>
            <w:vAlign w:val="center"/>
          </w:tcPr>
          <w:p w14:paraId="7C30D679">
            <w:pPr>
              <w:pStyle w:val="34"/>
              <w:rPr>
                <w:shd w:val="clear" w:color="auto" w:fill="auto"/>
              </w:rPr>
            </w:pPr>
            <w:r>
              <w:rPr>
                <w:shd w:val="clear" w:color="auto" w:fill="auto"/>
              </w:rPr>
              <w:t>岁</w:t>
            </w:r>
          </w:p>
        </w:tc>
        <w:tc>
          <w:tcPr>
            <w:tcW w:w="669" w:type="pct"/>
            <w:vAlign w:val="center"/>
          </w:tcPr>
          <w:p w14:paraId="78A0CBA0">
            <w:pPr>
              <w:pStyle w:val="34"/>
              <w:rPr>
                <w:shd w:val="clear" w:color="auto" w:fill="auto"/>
              </w:rPr>
            </w:pPr>
            <w:r>
              <w:rPr>
                <w:rFonts w:hint="eastAsia"/>
                <w:shd w:val="clear" w:color="auto" w:fill="auto"/>
              </w:rPr>
              <w:t>-</w:t>
            </w:r>
          </w:p>
        </w:tc>
        <w:tc>
          <w:tcPr>
            <w:tcW w:w="679" w:type="pct"/>
            <w:vAlign w:val="center"/>
          </w:tcPr>
          <w:p w14:paraId="4BB0BA14">
            <w:pPr>
              <w:pStyle w:val="34"/>
              <w:rPr>
                <w:shd w:val="clear" w:color="auto" w:fill="auto"/>
              </w:rPr>
            </w:pPr>
            <w:r>
              <w:rPr>
                <w:rFonts w:hint="eastAsia"/>
                <w:shd w:val="clear" w:color="auto" w:fill="auto"/>
              </w:rPr>
              <w:t>＞</w:t>
            </w:r>
            <w:r>
              <w:rPr>
                <w:shd w:val="clear" w:color="auto" w:fill="auto"/>
              </w:rPr>
              <w:t>80</w:t>
            </w:r>
          </w:p>
        </w:tc>
        <w:tc>
          <w:tcPr>
            <w:tcW w:w="665" w:type="pct"/>
            <w:vAlign w:val="center"/>
          </w:tcPr>
          <w:p w14:paraId="55DF5BF8">
            <w:pPr>
              <w:pStyle w:val="34"/>
              <w:rPr>
                <w:shd w:val="clear" w:color="auto" w:fill="auto"/>
              </w:rPr>
            </w:pPr>
            <w:r>
              <w:rPr>
                <w:rFonts w:hint="eastAsia"/>
                <w:shd w:val="clear" w:color="auto" w:fill="auto"/>
              </w:rPr>
              <w:t>预期性</w:t>
            </w:r>
          </w:p>
        </w:tc>
      </w:tr>
      <w:tr w14:paraId="3737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8" w:type="pct"/>
            <w:vAlign w:val="center"/>
          </w:tcPr>
          <w:p w14:paraId="20E80629">
            <w:pPr>
              <w:pStyle w:val="34"/>
              <w:rPr>
                <w:shd w:val="clear" w:color="auto" w:fill="auto"/>
              </w:rPr>
            </w:pPr>
            <w:r>
              <w:rPr>
                <w:shd w:val="clear" w:color="auto" w:fill="auto"/>
              </w:rPr>
              <w:t>22</w:t>
            </w:r>
          </w:p>
        </w:tc>
        <w:tc>
          <w:tcPr>
            <w:tcW w:w="2155" w:type="pct"/>
            <w:vAlign w:val="center"/>
          </w:tcPr>
          <w:p w14:paraId="0041223F">
            <w:pPr>
              <w:pStyle w:val="34"/>
              <w:rPr>
                <w:shd w:val="clear" w:color="auto" w:fill="auto"/>
              </w:rPr>
            </w:pPr>
            <w:r>
              <w:rPr>
                <w:rFonts w:hint="eastAsia"/>
                <w:shd w:val="clear" w:color="auto" w:fill="auto"/>
              </w:rPr>
              <w:t>学前三年教育毛入学率</w:t>
            </w:r>
          </w:p>
        </w:tc>
        <w:tc>
          <w:tcPr>
            <w:tcW w:w="474" w:type="pct"/>
            <w:vAlign w:val="center"/>
          </w:tcPr>
          <w:p w14:paraId="5DCB8C13">
            <w:pPr>
              <w:pStyle w:val="34"/>
              <w:rPr>
                <w:shd w:val="clear" w:color="auto" w:fill="auto"/>
              </w:rPr>
            </w:pPr>
            <w:r>
              <w:rPr>
                <w:rFonts w:hint="eastAsia"/>
                <w:shd w:val="clear" w:color="auto" w:fill="auto"/>
              </w:rPr>
              <w:t>%</w:t>
            </w:r>
          </w:p>
        </w:tc>
        <w:tc>
          <w:tcPr>
            <w:tcW w:w="669" w:type="pct"/>
            <w:vAlign w:val="center"/>
          </w:tcPr>
          <w:p w14:paraId="64C98FCA">
            <w:pPr>
              <w:pStyle w:val="34"/>
              <w:rPr>
                <w:shd w:val="clear" w:color="auto" w:fill="auto"/>
              </w:rPr>
            </w:pPr>
            <w:r>
              <w:rPr>
                <w:rFonts w:hint="eastAsia"/>
                <w:shd w:val="clear" w:color="auto" w:fill="auto"/>
              </w:rPr>
              <w:t>9</w:t>
            </w:r>
            <w:r>
              <w:rPr>
                <w:shd w:val="clear" w:color="auto" w:fill="auto"/>
              </w:rPr>
              <w:t>9.3</w:t>
            </w:r>
          </w:p>
        </w:tc>
        <w:tc>
          <w:tcPr>
            <w:tcW w:w="679" w:type="pct"/>
            <w:vAlign w:val="center"/>
          </w:tcPr>
          <w:p w14:paraId="239E2D46">
            <w:pPr>
              <w:pStyle w:val="34"/>
              <w:rPr>
                <w:shd w:val="clear" w:color="auto" w:fill="auto"/>
              </w:rPr>
            </w:pPr>
            <w:r>
              <w:rPr>
                <w:shd w:val="clear" w:color="auto" w:fill="auto"/>
              </w:rPr>
              <w:t>100</w:t>
            </w:r>
          </w:p>
        </w:tc>
        <w:tc>
          <w:tcPr>
            <w:tcW w:w="665" w:type="pct"/>
            <w:vAlign w:val="center"/>
          </w:tcPr>
          <w:p w14:paraId="063B97B2">
            <w:pPr>
              <w:pStyle w:val="34"/>
              <w:rPr>
                <w:shd w:val="clear" w:color="auto" w:fill="auto"/>
              </w:rPr>
            </w:pPr>
            <w:r>
              <w:rPr>
                <w:rFonts w:hint="eastAsia"/>
                <w:shd w:val="clear" w:color="auto" w:fill="auto"/>
              </w:rPr>
              <w:t>预期性</w:t>
            </w:r>
          </w:p>
        </w:tc>
      </w:tr>
      <w:tr w14:paraId="641F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6"/>
            <w:vAlign w:val="center"/>
          </w:tcPr>
          <w:p w14:paraId="4ECE870B">
            <w:pPr>
              <w:pStyle w:val="34"/>
              <w:jc w:val="left"/>
              <w:rPr>
                <w:b/>
                <w:shd w:val="clear" w:color="auto" w:fill="auto"/>
              </w:rPr>
            </w:pPr>
            <w:r>
              <w:rPr>
                <w:rFonts w:hint="eastAsia"/>
                <w:b/>
                <w:shd w:val="clear" w:color="auto" w:fill="auto"/>
              </w:rPr>
              <w:t>［］表示累积量</w:t>
            </w:r>
          </w:p>
        </w:tc>
      </w:tr>
    </w:tbl>
    <w:p w14:paraId="5E1837E9">
      <w:pPr>
        <w:pStyle w:val="22"/>
        <w:ind w:firstLine="640"/>
        <w:rPr>
          <w:shd w:val="clear" w:color="auto" w:fill="auto"/>
        </w:rPr>
      </w:pPr>
    </w:p>
    <w:p w14:paraId="6225D270">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664D9A6A">
      <w:pPr>
        <w:pStyle w:val="26"/>
        <w:spacing w:before="312" w:after="312"/>
        <w:rPr>
          <w:shd w:val="clear" w:color="auto" w:fill="auto"/>
        </w:rPr>
      </w:pPr>
      <w:bookmarkStart w:id="10" w:name="_Toc59298928"/>
      <w:r>
        <w:rPr>
          <w:rFonts w:hint="eastAsia"/>
          <w:shd w:val="clear" w:color="auto" w:fill="auto"/>
        </w:rPr>
        <w:t xml:space="preserve">第三章 </w:t>
      </w:r>
      <w:r>
        <w:rPr>
          <w:shd w:val="clear" w:color="auto" w:fill="auto"/>
        </w:rPr>
        <w:t xml:space="preserve"> </w:t>
      </w:r>
      <w:r>
        <w:rPr>
          <w:rFonts w:hint="eastAsia"/>
          <w:shd w:val="clear" w:color="auto" w:fill="auto"/>
        </w:rPr>
        <w:t>保护单元</w:t>
      </w:r>
      <w:bookmarkEnd w:id="10"/>
    </w:p>
    <w:p w14:paraId="4A29B53D">
      <w:pPr>
        <w:pStyle w:val="32"/>
        <w:spacing w:before="156" w:after="156"/>
        <w:ind w:firstLine="640"/>
        <w:rPr>
          <w:shd w:val="clear" w:color="auto" w:fill="auto"/>
        </w:rPr>
      </w:pPr>
      <w:bookmarkStart w:id="11" w:name="_Toc59298929"/>
      <w:r>
        <w:rPr>
          <w:rFonts w:hint="eastAsia"/>
          <w:shd w:val="clear" w:color="auto" w:fill="auto"/>
        </w:rPr>
        <w:t>一、重点保护单元名录</w:t>
      </w:r>
      <w:bookmarkEnd w:id="11"/>
    </w:p>
    <w:p w14:paraId="3D1AD21B">
      <w:pPr>
        <w:pStyle w:val="22"/>
        <w:ind w:firstLine="640"/>
        <w:rPr>
          <w:shd w:val="clear" w:color="auto" w:fill="auto"/>
        </w:rPr>
      </w:pPr>
      <w:r>
        <w:rPr>
          <w:shd w:val="clear" w:color="auto" w:fill="auto"/>
        </w:rPr>
        <w:t>根据</w:t>
      </w:r>
      <w:r>
        <w:rPr>
          <w:rFonts w:hint="eastAsia"/>
          <w:shd w:val="clear" w:color="auto" w:fill="auto"/>
        </w:rPr>
        <w:t>《陕西省主体功能区规划》、《陕西省秦岭生态环境保护条例》及《商洛市秦岭生态环境保护规划》的要求，镇安县秦岭生态环境保护范围内包含的重点保护单元主要有</w:t>
      </w:r>
      <w:r>
        <w:rPr>
          <w:rFonts w:hint="eastAsia"/>
          <w:b/>
          <w:shd w:val="clear" w:color="auto" w:fill="auto"/>
        </w:rPr>
        <w:t>陕西鹰嘴石省级自然保护区，陕西木王国家森林公园，旬河重要湿地镇安段</w:t>
      </w:r>
      <w:r>
        <w:rPr>
          <w:rFonts w:hint="eastAsia"/>
          <w:shd w:val="clear" w:color="auto" w:fill="auto"/>
        </w:rPr>
        <w:t>，黑窑沟及木王国有林场的</w:t>
      </w:r>
      <w:r>
        <w:rPr>
          <w:rFonts w:hint="eastAsia"/>
          <w:b/>
          <w:shd w:val="clear" w:color="auto" w:fill="auto"/>
        </w:rPr>
        <w:t>国有天然林分布区</w:t>
      </w:r>
      <w:r>
        <w:rPr>
          <w:rFonts w:hint="eastAsia"/>
          <w:shd w:val="clear" w:color="auto" w:fill="auto"/>
        </w:rPr>
        <w:t>，</w:t>
      </w:r>
      <w:r>
        <w:rPr>
          <w:rFonts w:hint="eastAsia"/>
          <w:b/>
          <w:shd w:val="clear" w:color="auto" w:fill="auto"/>
        </w:rPr>
        <w:t>镇安城区集中式饮用水水源地</w:t>
      </w:r>
      <w:r>
        <w:rPr>
          <w:rFonts w:hint="eastAsia"/>
          <w:shd w:val="clear" w:color="auto" w:fill="auto"/>
        </w:rPr>
        <w:t>，倪氏民居、黑龙庙、朝阳观、米粮寺及烈士陵墓、太阳山乾初洞摩崖题刻、云盖寺及云盖寺镇街民居、刘氏民居、百神洞黑龙庙、茅坡寨、文家庙石拱桥、杨家垭清真寺、五星村崖居岩画、塔云山、白塔寨遗址等</w:t>
      </w:r>
      <w:r>
        <w:rPr>
          <w:rFonts w:hint="eastAsia"/>
          <w:b/>
          <w:shd w:val="clear" w:color="auto" w:fill="auto"/>
        </w:rPr>
        <w:t>省级文物保护单位</w:t>
      </w:r>
      <w:r>
        <w:rPr>
          <w:rFonts w:hint="eastAsia"/>
          <w:shd w:val="clear" w:color="auto" w:fill="auto"/>
        </w:rPr>
        <w:t>。具体详见专栏3。</w:t>
      </w:r>
    </w:p>
    <w:p w14:paraId="48FB33B2">
      <w:pPr>
        <w:pStyle w:val="22"/>
        <w:ind w:firstLine="640"/>
        <w:rPr>
          <w:shd w:val="clear" w:color="auto" w:fill="auto"/>
        </w:rPr>
      </w:pPr>
    </w:p>
    <w:p w14:paraId="67FAFDFE">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2065"/>
        <w:gridCol w:w="1151"/>
        <w:gridCol w:w="1729"/>
        <w:gridCol w:w="4322"/>
        <w:gridCol w:w="2057"/>
        <w:gridCol w:w="1394"/>
      </w:tblGrid>
      <w:tr w14:paraId="79CA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000" w:type="pct"/>
            <w:gridSpan w:val="7"/>
            <w:vAlign w:val="center"/>
          </w:tcPr>
          <w:p w14:paraId="574E817D">
            <w:pPr>
              <w:pStyle w:val="36"/>
            </w:pPr>
            <w:r>
              <w:t>专栏</w:t>
            </w:r>
            <w:r>
              <w:rPr>
                <w:rFonts w:hint="eastAsia"/>
              </w:rPr>
              <w:t xml:space="preserve"> </w:t>
            </w:r>
            <w:r>
              <w:t>3 镇安县秦岭区域重点保护单元</w:t>
            </w:r>
            <w:r>
              <w:rPr>
                <w:rFonts w:hint="eastAsia"/>
              </w:rPr>
              <w:t>名录</w:t>
            </w:r>
          </w:p>
        </w:tc>
      </w:tr>
      <w:tr w14:paraId="540C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92" w:type="pct"/>
            <w:vAlign w:val="center"/>
          </w:tcPr>
          <w:p w14:paraId="68F7D71D">
            <w:pPr>
              <w:adjustRightInd w:val="0"/>
              <w:snapToGrid w:val="0"/>
              <w:spacing w:line="360" w:lineRule="exact"/>
              <w:jc w:val="center"/>
              <w:rPr>
                <w:rFonts w:ascii="Times New Roman" w:hAnsi="Times New Roman" w:eastAsia="楷体_GB2312"/>
                <w:b/>
                <w:bCs/>
                <w:sz w:val="24"/>
                <w:szCs w:val="32"/>
              </w:rPr>
            </w:pPr>
            <w:r>
              <w:rPr>
                <w:rFonts w:hint="eastAsia" w:ascii="Times New Roman" w:hAnsi="Times New Roman" w:eastAsia="楷体_GB2312"/>
                <w:b/>
                <w:bCs/>
                <w:sz w:val="24"/>
                <w:szCs w:val="32"/>
              </w:rPr>
              <w:t>类别</w:t>
            </w:r>
          </w:p>
        </w:tc>
        <w:tc>
          <w:tcPr>
            <w:tcW w:w="732" w:type="pct"/>
            <w:vAlign w:val="center"/>
          </w:tcPr>
          <w:p w14:paraId="07046FB2">
            <w:pPr>
              <w:adjustRightInd w:val="0"/>
              <w:snapToGrid w:val="0"/>
              <w:spacing w:line="360" w:lineRule="exact"/>
              <w:jc w:val="center"/>
              <w:rPr>
                <w:rFonts w:ascii="Times New Roman" w:hAnsi="Times New Roman" w:eastAsia="楷体_GB2312"/>
                <w:b/>
                <w:bCs/>
                <w:sz w:val="24"/>
                <w:szCs w:val="32"/>
              </w:rPr>
            </w:pPr>
            <w:r>
              <w:rPr>
                <w:rFonts w:hint="eastAsia" w:ascii="Times New Roman" w:hAnsi="Times New Roman" w:eastAsia="楷体_GB2312"/>
                <w:b/>
                <w:bCs/>
                <w:sz w:val="24"/>
                <w:szCs w:val="32"/>
              </w:rPr>
              <w:t>名录</w:t>
            </w:r>
          </w:p>
        </w:tc>
        <w:tc>
          <w:tcPr>
            <w:tcW w:w="408" w:type="pct"/>
            <w:vAlign w:val="center"/>
          </w:tcPr>
          <w:p w14:paraId="503DB251">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总面积</w:t>
            </w:r>
          </w:p>
          <w:p w14:paraId="69EE9F2C">
            <w:pPr>
              <w:adjustRightInd w:val="0"/>
              <w:snapToGrid w:val="0"/>
              <w:spacing w:line="360" w:lineRule="exact"/>
              <w:jc w:val="center"/>
              <w:rPr>
                <w:rFonts w:ascii="Times New Roman" w:hAnsi="Times New Roman" w:eastAsia="楷体_GB2312"/>
                <w:b/>
                <w:bCs/>
                <w:sz w:val="24"/>
                <w:szCs w:val="32"/>
              </w:rPr>
            </w:pPr>
            <w:r>
              <w:rPr>
                <w:rFonts w:hint="eastAsia" w:ascii="Times New Roman" w:hAnsi="Times New Roman" w:eastAsia="楷体_GB2312"/>
                <w:b/>
                <w:bCs/>
                <w:sz w:val="24"/>
                <w:szCs w:val="32"/>
              </w:rPr>
              <w:t>（km</w:t>
            </w:r>
            <w:r>
              <w:rPr>
                <w:rFonts w:ascii="Times New Roman" w:hAnsi="Times New Roman" w:eastAsia="楷体_GB2312"/>
                <w:b/>
                <w:bCs/>
                <w:sz w:val="24"/>
                <w:szCs w:val="32"/>
                <w:vertAlign w:val="superscript"/>
              </w:rPr>
              <w:t>2</w:t>
            </w:r>
            <w:r>
              <w:rPr>
                <w:rFonts w:hint="eastAsia" w:ascii="Times New Roman" w:hAnsi="Times New Roman" w:eastAsia="楷体_GB2312"/>
                <w:b/>
                <w:bCs/>
                <w:sz w:val="24"/>
                <w:szCs w:val="32"/>
              </w:rPr>
              <w:t>）</w:t>
            </w:r>
          </w:p>
        </w:tc>
        <w:tc>
          <w:tcPr>
            <w:tcW w:w="613" w:type="pct"/>
            <w:vAlign w:val="center"/>
          </w:tcPr>
          <w:p w14:paraId="025D3B59">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功能区划面积</w:t>
            </w:r>
          </w:p>
          <w:p w14:paraId="4DBA6913">
            <w:pPr>
              <w:adjustRightInd w:val="0"/>
              <w:snapToGrid w:val="0"/>
              <w:spacing w:line="360" w:lineRule="exact"/>
              <w:jc w:val="center"/>
              <w:rPr>
                <w:rFonts w:ascii="Times New Roman" w:hAnsi="Times New Roman" w:eastAsia="楷体_GB2312"/>
                <w:b/>
                <w:bCs/>
                <w:sz w:val="24"/>
                <w:szCs w:val="32"/>
              </w:rPr>
            </w:pPr>
            <w:r>
              <w:rPr>
                <w:rFonts w:hint="eastAsia" w:ascii="Times New Roman" w:hAnsi="Times New Roman" w:eastAsia="楷体_GB2312"/>
                <w:b/>
                <w:bCs/>
                <w:sz w:val="24"/>
                <w:szCs w:val="32"/>
              </w:rPr>
              <w:t>（km</w:t>
            </w:r>
            <w:r>
              <w:rPr>
                <w:rFonts w:ascii="Times New Roman" w:hAnsi="Times New Roman" w:eastAsia="楷体_GB2312"/>
                <w:b/>
                <w:bCs/>
                <w:sz w:val="24"/>
                <w:szCs w:val="32"/>
                <w:vertAlign w:val="superscript"/>
              </w:rPr>
              <w:t>2</w:t>
            </w:r>
            <w:r>
              <w:rPr>
                <w:rFonts w:hint="eastAsia" w:ascii="Times New Roman" w:hAnsi="Times New Roman" w:eastAsia="楷体_GB2312"/>
                <w:b/>
                <w:bCs/>
                <w:sz w:val="24"/>
                <w:szCs w:val="32"/>
              </w:rPr>
              <w:t>）</w:t>
            </w:r>
          </w:p>
        </w:tc>
        <w:tc>
          <w:tcPr>
            <w:tcW w:w="1532" w:type="pct"/>
            <w:vAlign w:val="center"/>
          </w:tcPr>
          <w:p w14:paraId="035DCA09">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涉及村镇</w:t>
            </w:r>
          </w:p>
        </w:tc>
        <w:tc>
          <w:tcPr>
            <w:tcW w:w="729" w:type="pct"/>
            <w:vAlign w:val="center"/>
          </w:tcPr>
          <w:p w14:paraId="401C745D">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备注</w:t>
            </w:r>
          </w:p>
        </w:tc>
        <w:tc>
          <w:tcPr>
            <w:tcW w:w="494" w:type="pct"/>
            <w:vAlign w:val="center"/>
          </w:tcPr>
          <w:p w14:paraId="1EA8FD5D">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批准文号</w:t>
            </w:r>
          </w:p>
        </w:tc>
      </w:tr>
      <w:tr w14:paraId="28D9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restart"/>
            <w:vAlign w:val="center"/>
          </w:tcPr>
          <w:p w14:paraId="00091C8B">
            <w:pPr>
              <w:adjustRightInd w:val="0"/>
              <w:snapToGrid w:val="0"/>
              <w:spacing w:line="360" w:lineRule="exact"/>
              <w:jc w:val="center"/>
              <w:rPr>
                <w:rFonts w:ascii="Times New Roman" w:hAnsi="Times New Roman" w:eastAsia="楷体_GB2312"/>
                <w:b/>
                <w:bCs/>
                <w:sz w:val="24"/>
                <w:szCs w:val="32"/>
              </w:rPr>
            </w:pPr>
            <w:r>
              <w:rPr>
                <w:rFonts w:hint="eastAsia" w:ascii="Times New Roman" w:hAnsi="Times New Roman" w:eastAsia="楷体_GB2312"/>
                <w:b/>
                <w:bCs/>
                <w:sz w:val="24"/>
                <w:szCs w:val="32"/>
              </w:rPr>
              <w:t>自然保护区</w:t>
            </w:r>
          </w:p>
        </w:tc>
        <w:tc>
          <w:tcPr>
            <w:tcW w:w="732" w:type="pct"/>
            <w:vMerge w:val="restart"/>
            <w:vAlign w:val="center"/>
          </w:tcPr>
          <w:p w14:paraId="7898AA4E">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陕西鹰嘴石省级自然保护区</w:t>
            </w:r>
          </w:p>
        </w:tc>
        <w:tc>
          <w:tcPr>
            <w:tcW w:w="408" w:type="pct"/>
            <w:vMerge w:val="restart"/>
            <w:vAlign w:val="center"/>
          </w:tcPr>
          <w:p w14:paraId="13CA59D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14.62</w:t>
            </w:r>
          </w:p>
        </w:tc>
        <w:tc>
          <w:tcPr>
            <w:tcW w:w="613" w:type="pct"/>
            <w:vAlign w:val="center"/>
          </w:tcPr>
          <w:p w14:paraId="54E4623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核心区（3</w:t>
            </w:r>
            <w:r>
              <w:rPr>
                <w:rFonts w:ascii="Times New Roman" w:hAnsi="Times New Roman" w:eastAsia="楷体_GB2312"/>
                <w:bCs/>
                <w:sz w:val="24"/>
                <w:szCs w:val="32"/>
              </w:rPr>
              <w:t>2.258</w:t>
            </w:r>
            <w:r>
              <w:rPr>
                <w:rFonts w:hint="eastAsia" w:ascii="Times New Roman" w:hAnsi="Times New Roman" w:eastAsia="楷体_GB2312"/>
                <w:bCs/>
                <w:sz w:val="24"/>
                <w:szCs w:val="32"/>
              </w:rPr>
              <w:t>）</w:t>
            </w:r>
          </w:p>
        </w:tc>
        <w:tc>
          <w:tcPr>
            <w:tcW w:w="1532" w:type="pct"/>
            <w:vAlign w:val="center"/>
          </w:tcPr>
          <w:p w14:paraId="5897E5A4">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桂林村、长坪村、坪胜村、栗扎坪村</w:t>
            </w:r>
          </w:p>
        </w:tc>
        <w:tc>
          <w:tcPr>
            <w:tcW w:w="729" w:type="pct"/>
            <w:vMerge w:val="restart"/>
            <w:vAlign w:val="center"/>
          </w:tcPr>
          <w:p w14:paraId="5651975F">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Cs/>
                <w:sz w:val="24"/>
                <w:szCs w:val="32"/>
              </w:rPr>
              <w:t>目前自然保护地还在整合优化中</w:t>
            </w:r>
            <w:r>
              <w:rPr>
                <w:rFonts w:hint="eastAsia" w:ascii="Times New Roman" w:hAnsi="Times New Roman" w:eastAsia="楷体_GB2312"/>
                <w:bCs/>
                <w:sz w:val="24"/>
                <w:szCs w:val="32"/>
              </w:rPr>
              <w:t>，</w:t>
            </w:r>
            <w:r>
              <w:rPr>
                <w:rFonts w:ascii="Times New Roman" w:hAnsi="Times New Roman" w:eastAsia="楷体_GB2312"/>
                <w:bCs/>
                <w:sz w:val="24"/>
                <w:szCs w:val="32"/>
              </w:rPr>
              <w:t>最新数据尚未批复</w:t>
            </w:r>
            <w:r>
              <w:rPr>
                <w:rFonts w:hint="eastAsia" w:ascii="Times New Roman" w:hAnsi="Times New Roman" w:eastAsia="楷体_GB2312"/>
                <w:bCs/>
                <w:sz w:val="24"/>
                <w:szCs w:val="32"/>
              </w:rPr>
              <w:t>，</w:t>
            </w:r>
            <w:r>
              <w:rPr>
                <w:rFonts w:ascii="Times New Roman" w:hAnsi="Times New Roman" w:eastAsia="楷体_GB2312"/>
                <w:bCs/>
                <w:sz w:val="24"/>
                <w:szCs w:val="32"/>
              </w:rPr>
              <w:t>待自然保护地整合优化完成后</w:t>
            </w:r>
            <w:r>
              <w:rPr>
                <w:rFonts w:hint="eastAsia" w:ascii="Times New Roman" w:hAnsi="Times New Roman" w:eastAsia="楷体_GB2312"/>
                <w:bCs/>
                <w:sz w:val="24"/>
                <w:szCs w:val="32"/>
              </w:rPr>
              <w:t>，</w:t>
            </w:r>
            <w:r>
              <w:rPr>
                <w:rFonts w:ascii="Times New Roman" w:hAnsi="Times New Roman" w:eastAsia="楷体_GB2312"/>
                <w:bCs/>
                <w:sz w:val="24"/>
                <w:szCs w:val="32"/>
              </w:rPr>
              <w:t>再根据最新数据进行调整</w:t>
            </w:r>
            <w:r>
              <w:rPr>
                <w:rFonts w:hint="eastAsia" w:ascii="Times New Roman" w:hAnsi="Times New Roman" w:eastAsia="楷体_GB2312"/>
                <w:bCs/>
                <w:sz w:val="24"/>
                <w:szCs w:val="32"/>
              </w:rPr>
              <w:t>。</w:t>
            </w:r>
          </w:p>
        </w:tc>
        <w:tc>
          <w:tcPr>
            <w:tcW w:w="494" w:type="pct"/>
            <w:vMerge w:val="restart"/>
            <w:vAlign w:val="center"/>
          </w:tcPr>
          <w:p w14:paraId="13290CB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陕环批复〔2010〕76号</w:t>
            </w:r>
          </w:p>
        </w:tc>
      </w:tr>
      <w:tr w14:paraId="6876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continue"/>
            <w:vAlign w:val="center"/>
          </w:tcPr>
          <w:p w14:paraId="29B478A2">
            <w:pPr>
              <w:adjustRightInd w:val="0"/>
              <w:snapToGrid w:val="0"/>
              <w:spacing w:line="360" w:lineRule="exact"/>
              <w:jc w:val="center"/>
              <w:rPr>
                <w:rFonts w:ascii="Times New Roman" w:hAnsi="Times New Roman" w:eastAsia="楷体_GB2312"/>
                <w:b/>
                <w:bCs/>
                <w:sz w:val="24"/>
                <w:szCs w:val="32"/>
              </w:rPr>
            </w:pPr>
          </w:p>
        </w:tc>
        <w:tc>
          <w:tcPr>
            <w:tcW w:w="732" w:type="pct"/>
            <w:vMerge w:val="continue"/>
            <w:vAlign w:val="center"/>
          </w:tcPr>
          <w:p w14:paraId="0B849C5F">
            <w:pPr>
              <w:adjustRightInd w:val="0"/>
              <w:snapToGrid w:val="0"/>
              <w:spacing w:line="360" w:lineRule="exact"/>
              <w:jc w:val="center"/>
              <w:rPr>
                <w:rFonts w:ascii="Times New Roman" w:hAnsi="Times New Roman" w:eastAsia="楷体_GB2312"/>
                <w:bCs/>
                <w:sz w:val="24"/>
                <w:szCs w:val="32"/>
              </w:rPr>
            </w:pPr>
          </w:p>
        </w:tc>
        <w:tc>
          <w:tcPr>
            <w:tcW w:w="408" w:type="pct"/>
            <w:vMerge w:val="continue"/>
            <w:vAlign w:val="center"/>
          </w:tcPr>
          <w:p w14:paraId="796FA0DB">
            <w:pPr>
              <w:adjustRightInd w:val="0"/>
              <w:snapToGrid w:val="0"/>
              <w:spacing w:line="360" w:lineRule="exact"/>
              <w:jc w:val="center"/>
              <w:rPr>
                <w:rFonts w:ascii="Times New Roman" w:hAnsi="Times New Roman" w:eastAsia="楷体_GB2312"/>
                <w:bCs/>
                <w:sz w:val="24"/>
                <w:szCs w:val="32"/>
              </w:rPr>
            </w:pPr>
          </w:p>
        </w:tc>
        <w:tc>
          <w:tcPr>
            <w:tcW w:w="613" w:type="pct"/>
            <w:vAlign w:val="center"/>
          </w:tcPr>
          <w:p w14:paraId="4A7AE22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缓冲区（2</w:t>
            </w:r>
            <w:r>
              <w:rPr>
                <w:rFonts w:ascii="Times New Roman" w:hAnsi="Times New Roman" w:eastAsia="楷体_GB2312"/>
                <w:bCs/>
                <w:sz w:val="24"/>
                <w:szCs w:val="32"/>
              </w:rPr>
              <w:t>7.812</w:t>
            </w:r>
            <w:r>
              <w:rPr>
                <w:rFonts w:hint="eastAsia" w:ascii="Times New Roman" w:hAnsi="Times New Roman" w:eastAsia="楷体_GB2312"/>
                <w:bCs/>
                <w:sz w:val="24"/>
                <w:szCs w:val="32"/>
              </w:rPr>
              <w:t>）</w:t>
            </w:r>
          </w:p>
        </w:tc>
        <w:tc>
          <w:tcPr>
            <w:tcW w:w="1532" w:type="pct"/>
            <w:vAlign w:val="center"/>
          </w:tcPr>
          <w:p w14:paraId="6743B27C">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桂林村、长坪村、坪胜村、栗扎坪村；</w:t>
            </w:r>
            <w:r>
              <w:rPr>
                <w:rFonts w:hint="eastAsia" w:ascii="Times New Roman" w:hAnsi="Times New Roman" w:eastAsia="楷体_GB2312"/>
                <w:b/>
                <w:bCs/>
                <w:sz w:val="24"/>
                <w:szCs w:val="32"/>
              </w:rPr>
              <w:t>月河镇：</w:t>
            </w:r>
            <w:r>
              <w:rPr>
                <w:rFonts w:hint="eastAsia" w:ascii="Times New Roman" w:hAnsi="Times New Roman" w:eastAsia="楷体_GB2312"/>
                <w:bCs/>
                <w:sz w:val="24"/>
                <w:szCs w:val="32"/>
              </w:rPr>
              <w:t>菩萨殿村</w:t>
            </w:r>
          </w:p>
        </w:tc>
        <w:tc>
          <w:tcPr>
            <w:tcW w:w="729" w:type="pct"/>
            <w:vMerge w:val="continue"/>
            <w:vAlign w:val="center"/>
          </w:tcPr>
          <w:p w14:paraId="2B232C98">
            <w:pPr>
              <w:adjustRightInd w:val="0"/>
              <w:snapToGrid w:val="0"/>
              <w:spacing w:line="360" w:lineRule="exact"/>
              <w:jc w:val="center"/>
              <w:rPr>
                <w:rFonts w:ascii="Times New Roman" w:hAnsi="Times New Roman" w:eastAsia="楷体_GB2312"/>
                <w:bCs/>
                <w:sz w:val="24"/>
                <w:szCs w:val="32"/>
              </w:rPr>
            </w:pPr>
          </w:p>
        </w:tc>
        <w:tc>
          <w:tcPr>
            <w:tcW w:w="494" w:type="pct"/>
            <w:vMerge w:val="continue"/>
            <w:vAlign w:val="center"/>
          </w:tcPr>
          <w:p w14:paraId="7F728C1F">
            <w:pPr>
              <w:adjustRightInd w:val="0"/>
              <w:snapToGrid w:val="0"/>
              <w:spacing w:line="360" w:lineRule="exact"/>
              <w:jc w:val="center"/>
              <w:rPr>
                <w:rFonts w:ascii="Times New Roman" w:hAnsi="Times New Roman" w:eastAsia="楷体_GB2312"/>
                <w:bCs/>
                <w:sz w:val="24"/>
                <w:szCs w:val="32"/>
              </w:rPr>
            </w:pPr>
          </w:p>
        </w:tc>
      </w:tr>
      <w:tr w14:paraId="4F68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continue"/>
            <w:vAlign w:val="center"/>
          </w:tcPr>
          <w:p w14:paraId="23CD755D">
            <w:pPr>
              <w:adjustRightInd w:val="0"/>
              <w:snapToGrid w:val="0"/>
              <w:spacing w:line="360" w:lineRule="exact"/>
              <w:jc w:val="center"/>
              <w:rPr>
                <w:rFonts w:ascii="Times New Roman" w:hAnsi="Times New Roman" w:eastAsia="楷体_GB2312"/>
                <w:b/>
                <w:bCs/>
                <w:sz w:val="24"/>
                <w:szCs w:val="32"/>
              </w:rPr>
            </w:pPr>
          </w:p>
        </w:tc>
        <w:tc>
          <w:tcPr>
            <w:tcW w:w="732" w:type="pct"/>
            <w:vMerge w:val="continue"/>
            <w:vAlign w:val="center"/>
          </w:tcPr>
          <w:p w14:paraId="1C1C3712">
            <w:pPr>
              <w:adjustRightInd w:val="0"/>
              <w:snapToGrid w:val="0"/>
              <w:spacing w:line="360" w:lineRule="exact"/>
              <w:jc w:val="center"/>
              <w:rPr>
                <w:rFonts w:ascii="Times New Roman" w:hAnsi="Times New Roman" w:eastAsia="楷体_GB2312"/>
                <w:bCs/>
                <w:sz w:val="24"/>
                <w:szCs w:val="32"/>
              </w:rPr>
            </w:pPr>
          </w:p>
        </w:tc>
        <w:tc>
          <w:tcPr>
            <w:tcW w:w="408" w:type="pct"/>
            <w:vMerge w:val="continue"/>
            <w:vAlign w:val="center"/>
          </w:tcPr>
          <w:p w14:paraId="01796F8E">
            <w:pPr>
              <w:adjustRightInd w:val="0"/>
              <w:snapToGrid w:val="0"/>
              <w:spacing w:line="360" w:lineRule="exact"/>
              <w:jc w:val="center"/>
              <w:rPr>
                <w:rFonts w:ascii="Times New Roman" w:hAnsi="Times New Roman" w:eastAsia="楷体_GB2312"/>
                <w:bCs/>
                <w:sz w:val="24"/>
                <w:szCs w:val="32"/>
              </w:rPr>
            </w:pPr>
          </w:p>
        </w:tc>
        <w:tc>
          <w:tcPr>
            <w:tcW w:w="613" w:type="pct"/>
            <w:vAlign w:val="center"/>
          </w:tcPr>
          <w:p w14:paraId="2AB94F0A">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试验区（5</w:t>
            </w:r>
            <w:r>
              <w:rPr>
                <w:rFonts w:ascii="Times New Roman" w:hAnsi="Times New Roman" w:eastAsia="楷体_GB2312"/>
                <w:bCs/>
                <w:sz w:val="24"/>
                <w:szCs w:val="32"/>
              </w:rPr>
              <w:t>4.55</w:t>
            </w:r>
            <w:r>
              <w:rPr>
                <w:rFonts w:hint="eastAsia" w:ascii="Times New Roman" w:hAnsi="Times New Roman" w:eastAsia="楷体_GB2312"/>
                <w:bCs/>
                <w:sz w:val="24"/>
                <w:szCs w:val="32"/>
              </w:rPr>
              <w:t>）</w:t>
            </w:r>
          </w:p>
        </w:tc>
        <w:tc>
          <w:tcPr>
            <w:tcW w:w="1532" w:type="pct"/>
            <w:vAlign w:val="center"/>
          </w:tcPr>
          <w:p w14:paraId="2219EBCE">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桂林村、长坪村、坪胜村、栗扎坪村、米粮寺村；</w:t>
            </w:r>
            <w:r>
              <w:rPr>
                <w:rFonts w:hint="eastAsia" w:ascii="Times New Roman" w:hAnsi="Times New Roman" w:eastAsia="楷体_GB2312"/>
                <w:b/>
                <w:bCs/>
                <w:sz w:val="24"/>
                <w:szCs w:val="32"/>
              </w:rPr>
              <w:t>月河镇：</w:t>
            </w:r>
            <w:r>
              <w:rPr>
                <w:rFonts w:hint="eastAsia" w:ascii="Times New Roman" w:hAnsi="Times New Roman" w:eastAsia="楷体_GB2312"/>
                <w:bCs/>
                <w:sz w:val="24"/>
                <w:szCs w:val="32"/>
              </w:rPr>
              <w:t>菩萨殿村</w:t>
            </w:r>
          </w:p>
        </w:tc>
        <w:tc>
          <w:tcPr>
            <w:tcW w:w="729" w:type="pct"/>
            <w:vMerge w:val="continue"/>
            <w:vAlign w:val="center"/>
          </w:tcPr>
          <w:p w14:paraId="57781384">
            <w:pPr>
              <w:adjustRightInd w:val="0"/>
              <w:snapToGrid w:val="0"/>
              <w:spacing w:line="360" w:lineRule="exact"/>
              <w:jc w:val="center"/>
              <w:rPr>
                <w:rFonts w:ascii="Times New Roman" w:hAnsi="Times New Roman" w:eastAsia="楷体_GB2312"/>
                <w:bCs/>
                <w:sz w:val="24"/>
                <w:szCs w:val="32"/>
              </w:rPr>
            </w:pPr>
          </w:p>
        </w:tc>
        <w:tc>
          <w:tcPr>
            <w:tcW w:w="494" w:type="pct"/>
            <w:vMerge w:val="continue"/>
            <w:vAlign w:val="center"/>
          </w:tcPr>
          <w:p w14:paraId="349190B3">
            <w:pPr>
              <w:adjustRightInd w:val="0"/>
              <w:snapToGrid w:val="0"/>
              <w:spacing w:line="360" w:lineRule="exact"/>
              <w:jc w:val="center"/>
              <w:rPr>
                <w:rFonts w:ascii="Times New Roman" w:hAnsi="Times New Roman" w:eastAsia="楷体_GB2312"/>
                <w:bCs/>
                <w:sz w:val="24"/>
                <w:szCs w:val="32"/>
              </w:rPr>
            </w:pPr>
          </w:p>
        </w:tc>
      </w:tr>
      <w:tr w14:paraId="01A2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restart"/>
            <w:vAlign w:val="center"/>
          </w:tcPr>
          <w:p w14:paraId="0691E6AA">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森林公园</w:t>
            </w:r>
          </w:p>
        </w:tc>
        <w:tc>
          <w:tcPr>
            <w:tcW w:w="732" w:type="pct"/>
            <w:vMerge w:val="restart"/>
            <w:vAlign w:val="center"/>
          </w:tcPr>
          <w:p w14:paraId="264AC1E7">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陕西木王国家森林公园</w:t>
            </w:r>
          </w:p>
        </w:tc>
        <w:tc>
          <w:tcPr>
            <w:tcW w:w="408" w:type="pct"/>
            <w:vMerge w:val="restart"/>
            <w:vAlign w:val="center"/>
          </w:tcPr>
          <w:p w14:paraId="1CFD92F6">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3</w:t>
            </w:r>
            <w:r>
              <w:rPr>
                <w:rFonts w:ascii="Times New Roman" w:hAnsi="Times New Roman" w:eastAsia="楷体_GB2312"/>
                <w:bCs/>
                <w:sz w:val="24"/>
                <w:szCs w:val="32"/>
              </w:rPr>
              <w:t>6.16</w:t>
            </w:r>
          </w:p>
        </w:tc>
        <w:tc>
          <w:tcPr>
            <w:tcW w:w="613" w:type="pct"/>
            <w:vAlign w:val="center"/>
          </w:tcPr>
          <w:p w14:paraId="46FBAB41">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核心景观区</w:t>
            </w:r>
            <w:r>
              <w:rPr>
                <w:rFonts w:hint="eastAsia" w:ascii="Times New Roman" w:hAnsi="Times New Roman" w:eastAsia="楷体_GB2312"/>
                <w:bCs/>
                <w:sz w:val="24"/>
                <w:szCs w:val="32"/>
              </w:rPr>
              <w:t>（1</w:t>
            </w:r>
            <w:r>
              <w:rPr>
                <w:rFonts w:ascii="Times New Roman" w:hAnsi="Times New Roman" w:eastAsia="楷体_GB2312"/>
                <w:bCs/>
                <w:sz w:val="24"/>
                <w:szCs w:val="32"/>
              </w:rPr>
              <w:t>.68</w:t>
            </w:r>
            <w:r>
              <w:rPr>
                <w:rFonts w:hint="eastAsia" w:ascii="Times New Roman" w:hAnsi="Times New Roman" w:eastAsia="楷体_GB2312"/>
                <w:bCs/>
                <w:sz w:val="24"/>
                <w:szCs w:val="32"/>
              </w:rPr>
              <w:t>）</w:t>
            </w:r>
          </w:p>
        </w:tc>
        <w:tc>
          <w:tcPr>
            <w:tcW w:w="1532" w:type="pct"/>
            <w:vAlign w:val="center"/>
          </w:tcPr>
          <w:p w14:paraId="3FE5A5D2">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桂林村</w:t>
            </w:r>
          </w:p>
        </w:tc>
        <w:tc>
          <w:tcPr>
            <w:tcW w:w="729" w:type="pct"/>
            <w:vMerge w:val="continue"/>
            <w:vAlign w:val="center"/>
          </w:tcPr>
          <w:p w14:paraId="68172E85">
            <w:pPr>
              <w:adjustRightInd w:val="0"/>
              <w:snapToGrid w:val="0"/>
              <w:spacing w:line="360" w:lineRule="exact"/>
              <w:jc w:val="center"/>
              <w:rPr>
                <w:rFonts w:ascii="Times New Roman" w:hAnsi="Times New Roman" w:eastAsia="楷体_GB2312"/>
                <w:bCs/>
                <w:sz w:val="24"/>
                <w:szCs w:val="32"/>
              </w:rPr>
            </w:pPr>
          </w:p>
        </w:tc>
        <w:tc>
          <w:tcPr>
            <w:tcW w:w="494" w:type="pct"/>
            <w:vMerge w:val="restart"/>
            <w:vAlign w:val="center"/>
          </w:tcPr>
          <w:p w14:paraId="5C609E3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林场发〔2003〕241号</w:t>
            </w:r>
          </w:p>
        </w:tc>
      </w:tr>
      <w:tr w14:paraId="3E73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continue"/>
            <w:vAlign w:val="center"/>
          </w:tcPr>
          <w:p w14:paraId="604C2B7B">
            <w:pPr>
              <w:adjustRightInd w:val="0"/>
              <w:snapToGrid w:val="0"/>
              <w:spacing w:line="360" w:lineRule="exact"/>
              <w:jc w:val="center"/>
              <w:rPr>
                <w:rFonts w:ascii="Times New Roman" w:hAnsi="Times New Roman" w:eastAsia="楷体_GB2312"/>
                <w:b/>
                <w:bCs/>
                <w:sz w:val="24"/>
                <w:szCs w:val="32"/>
              </w:rPr>
            </w:pPr>
          </w:p>
        </w:tc>
        <w:tc>
          <w:tcPr>
            <w:tcW w:w="732" w:type="pct"/>
            <w:vMerge w:val="continue"/>
            <w:vAlign w:val="center"/>
          </w:tcPr>
          <w:p w14:paraId="652D092A">
            <w:pPr>
              <w:adjustRightInd w:val="0"/>
              <w:snapToGrid w:val="0"/>
              <w:spacing w:line="360" w:lineRule="exact"/>
              <w:jc w:val="center"/>
              <w:rPr>
                <w:rFonts w:ascii="Times New Roman" w:hAnsi="Times New Roman" w:eastAsia="楷体_GB2312"/>
                <w:bCs/>
                <w:sz w:val="24"/>
                <w:szCs w:val="32"/>
              </w:rPr>
            </w:pPr>
          </w:p>
        </w:tc>
        <w:tc>
          <w:tcPr>
            <w:tcW w:w="408" w:type="pct"/>
            <w:vMerge w:val="continue"/>
            <w:vAlign w:val="center"/>
          </w:tcPr>
          <w:p w14:paraId="0BC582C0">
            <w:pPr>
              <w:adjustRightInd w:val="0"/>
              <w:snapToGrid w:val="0"/>
              <w:spacing w:line="360" w:lineRule="exact"/>
              <w:jc w:val="center"/>
              <w:rPr>
                <w:rFonts w:ascii="Times New Roman" w:hAnsi="Times New Roman" w:eastAsia="楷体_GB2312"/>
                <w:bCs/>
                <w:sz w:val="24"/>
                <w:szCs w:val="32"/>
              </w:rPr>
            </w:pPr>
          </w:p>
        </w:tc>
        <w:tc>
          <w:tcPr>
            <w:tcW w:w="613" w:type="pct"/>
            <w:vAlign w:val="center"/>
          </w:tcPr>
          <w:p w14:paraId="3335C835">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生态保育区</w:t>
            </w:r>
            <w:r>
              <w:rPr>
                <w:rFonts w:hint="eastAsia" w:ascii="Times New Roman" w:hAnsi="Times New Roman" w:eastAsia="楷体_GB2312"/>
                <w:bCs/>
                <w:sz w:val="24"/>
                <w:szCs w:val="32"/>
              </w:rPr>
              <w:t>（3</w:t>
            </w:r>
            <w:r>
              <w:rPr>
                <w:rFonts w:ascii="Times New Roman" w:hAnsi="Times New Roman" w:eastAsia="楷体_GB2312"/>
                <w:bCs/>
                <w:sz w:val="24"/>
                <w:szCs w:val="32"/>
              </w:rPr>
              <w:t>.06</w:t>
            </w:r>
            <w:r>
              <w:rPr>
                <w:rFonts w:hint="eastAsia" w:ascii="Times New Roman" w:hAnsi="Times New Roman" w:eastAsia="楷体_GB2312"/>
                <w:bCs/>
                <w:sz w:val="24"/>
                <w:szCs w:val="32"/>
              </w:rPr>
              <w:t>）</w:t>
            </w:r>
          </w:p>
        </w:tc>
        <w:tc>
          <w:tcPr>
            <w:tcW w:w="1532" w:type="pct"/>
            <w:vAlign w:val="center"/>
          </w:tcPr>
          <w:p w14:paraId="314E6588">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桂林村</w:t>
            </w:r>
          </w:p>
        </w:tc>
        <w:tc>
          <w:tcPr>
            <w:tcW w:w="729" w:type="pct"/>
            <w:vMerge w:val="continue"/>
            <w:vAlign w:val="center"/>
          </w:tcPr>
          <w:p w14:paraId="2799E8CD">
            <w:pPr>
              <w:adjustRightInd w:val="0"/>
              <w:snapToGrid w:val="0"/>
              <w:spacing w:line="360" w:lineRule="exact"/>
              <w:jc w:val="center"/>
              <w:rPr>
                <w:rFonts w:ascii="Times New Roman" w:hAnsi="Times New Roman" w:eastAsia="楷体_GB2312"/>
                <w:bCs/>
                <w:sz w:val="24"/>
                <w:szCs w:val="32"/>
              </w:rPr>
            </w:pPr>
          </w:p>
        </w:tc>
        <w:tc>
          <w:tcPr>
            <w:tcW w:w="494" w:type="pct"/>
            <w:vMerge w:val="continue"/>
            <w:vAlign w:val="center"/>
          </w:tcPr>
          <w:p w14:paraId="5684C482">
            <w:pPr>
              <w:adjustRightInd w:val="0"/>
              <w:snapToGrid w:val="0"/>
              <w:spacing w:line="360" w:lineRule="exact"/>
              <w:jc w:val="center"/>
              <w:rPr>
                <w:rFonts w:ascii="Times New Roman" w:hAnsi="Times New Roman" w:eastAsia="楷体_GB2312"/>
                <w:bCs/>
                <w:sz w:val="24"/>
                <w:szCs w:val="32"/>
              </w:rPr>
            </w:pPr>
          </w:p>
        </w:tc>
      </w:tr>
      <w:tr w14:paraId="2FDF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continue"/>
            <w:vAlign w:val="center"/>
          </w:tcPr>
          <w:p w14:paraId="70F6A780">
            <w:pPr>
              <w:adjustRightInd w:val="0"/>
              <w:snapToGrid w:val="0"/>
              <w:spacing w:line="360" w:lineRule="exact"/>
              <w:jc w:val="center"/>
              <w:rPr>
                <w:rFonts w:ascii="Times New Roman" w:hAnsi="Times New Roman" w:eastAsia="楷体_GB2312"/>
                <w:b/>
                <w:bCs/>
                <w:sz w:val="24"/>
                <w:szCs w:val="32"/>
              </w:rPr>
            </w:pPr>
          </w:p>
        </w:tc>
        <w:tc>
          <w:tcPr>
            <w:tcW w:w="732" w:type="pct"/>
            <w:vMerge w:val="continue"/>
            <w:vAlign w:val="center"/>
          </w:tcPr>
          <w:p w14:paraId="4184D428">
            <w:pPr>
              <w:adjustRightInd w:val="0"/>
              <w:snapToGrid w:val="0"/>
              <w:spacing w:line="360" w:lineRule="exact"/>
              <w:jc w:val="center"/>
              <w:rPr>
                <w:rFonts w:ascii="Times New Roman" w:hAnsi="Times New Roman" w:eastAsia="楷体_GB2312"/>
                <w:bCs/>
                <w:sz w:val="24"/>
                <w:szCs w:val="32"/>
              </w:rPr>
            </w:pPr>
          </w:p>
        </w:tc>
        <w:tc>
          <w:tcPr>
            <w:tcW w:w="408" w:type="pct"/>
            <w:vMerge w:val="continue"/>
            <w:vAlign w:val="center"/>
          </w:tcPr>
          <w:p w14:paraId="1FCBE9B6">
            <w:pPr>
              <w:adjustRightInd w:val="0"/>
              <w:snapToGrid w:val="0"/>
              <w:spacing w:line="360" w:lineRule="exact"/>
              <w:jc w:val="center"/>
              <w:rPr>
                <w:rFonts w:ascii="Times New Roman" w:hAnsi="Times New Roman" w:eastAsia="楷体_GB2312"/>
                <w:bCs/>
                <w:sz w:val="24"/>
                <w:szCs w:val="32"/>
              </w:rPr>
            </w:pPr>
          </w:p>
        </w:tc>
        <w:tc>
          <w:tcPr>
            <w:tcW w:w="613" w:type="pct"/>
            <w:vAlign w:val="center"/>
          </w:tcPr>
          <w:p w14:paraId="6CD1A329">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森林旅游区</w:t>
            </w:r>
            <w:r>
              <w:rPr>
                <w:rFonts w:hint="eastAsia" w:ascii="Times New Roman" w:hAnsi="Times New Roman" w:eastAsia="楷体_GB2312"/>
                <w:bCs/>
                <w:sz w:val="24"/>
                <w:szCs w:val="32"/>
              </w:rPr>
              <w:t>（</w:t>
            </w:r>
            <w:r>
              <w:rPr>
                <w:rFonts w:ascii="Times New Roman" w:hAnsi="Times New Roman" w:eastAsia="楷体_GB2312"/>
                <w:bCs/>
                <w:sz w:val="24"/>
                <w:szCs w:val="32"/>
              </w:rPr>
              <w:t>31.42</w:t>
            </w:r>
            <w:r>
              <w:rPr>
                <w:rFonts w:hint="eastAsia" w:ascii="Times New Roman" w:hAnsi="Times New Roman" w:eastAsia="楷体_GB2312"/>
                <w:bCs/>
                <w:sz w:val="24"/>
                <w:szCs w:val="32"/>
              </w:rPr>
              <w:t>）</w:t>
            </w:r>
          </w:p>
        </w:tc>
        <w:tc>
          <w:tcPr>
            <w:tcW w:w="1532" w:type="pct"/>
            <w:vAlign w:val="center"/>
          </w:tcPr>
          <w:p w14:paraId="416D5701">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桂林村、栗扎坪村、米粮寺村</w:t>
            </w:r>
          </w:p>
        </w:tc>
        <w:tc>
          <w:tcPr>
            <w:tcW w:w="729" w:type="pct"/>
            <w:vMerge w:val="continue"/>
            <w:vAlign w:val="center"/>
          </w:tcPr>
          <w:p w14:paraId="1AAF85A0">
            <w:pPr>
              <w:adjustRightInd w:val="0"/>
              <w:snapToGrid w:val="0"/>
              <w:spacing w:line="360" w:lineRule="exact"/>
              <w:jc w:val="center"/>
              <w:rPr>
                <w:rFonts w:ascii="Times New Roman" w:hAnsi="Times New Roman" w:eastAsia="楷体_GB2312"/>
                <w:bCs/>
                <w:sz w:val="24"/>
                <w:szCs w:val="32"/>
              </w:rPr>
            </w:pPr>
          </w:p>
        </w:tc>
        <w:tc>
          <w:tcPr>
            <w:tcW w:w="494" w:type="pct"/>
            <w:vMerge w:val="continue"/>
            <w:vAlign w:val="center"/>
          </w:tcPr>
          <w:p w14:paraId="5AA610CF">
            <w:pPr>
              <w:adjustRightInd w:val="0"/>
              <w:snapToGrid w:val="0"/>
              <w:spacing w:line="360" w:lineRule="exact"/>
              <w:jc w:val="center"/>
              <w:rPr>
                <w:rFonts w:ascii="Times New Roman" w:hAnsi="Times New Roman" w:eastAsia="楷体_GB2312"/>
                <w:bCs/>
                <w:sz w:val="24"/>
                <w:szCs w:val="32"/>
              </w:rPr>
            </w:pPr>
          </w:p>
        </w:tc>
      </w:tr>
      <w:tr w14:paraId="4559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Align w:val="center"/>
          </w:tcPr>
          <w:p w14:paraId="32DDA938">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重要湿地</w:t>
            </w:r>
          </w:p>
        </w:tc>
        <w:tc>
          <w:tcPr>
            <w:tcW w:w="732" w:type="pct"/>
            <w:vAlign w:val="center"/>
          </w:tcPr>
          <w:p w14:paraId="74A3844F">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旬河重要湿地</w:t>
            </w:r>
          </w:p>
          <w:p w14:paraId="7CB1A5E0">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镇安段</w:t>
            </w:r>
          </w:p>
        </w:tc>
        <w:tc>
          <w:tcPr>
            <w:tcW w:w="408" w:type="pct"/>
            <w:vAlign w:val="center"/>
          </w:tcPr>
          <w:p w14:paraId="46358F17">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6</w:t>
            </w:r>
            <w:r>
              <w:rPr>
                <w:rFonts w:ascii="Times New Roman" w:hAnsi="Times New Roman" w:eastAsia="楷体_GB2312"/>
                <w:bCs/>
                <w:sz w:val="24"/>
                <w:szCs w:val="32"/>
              </w:rPr>
              <w:t>.4121</w:t>
            </w:r>
          </w:p>
        </w:tc>
        <w:tc>
          <w:tcPr>
            <w:tcW w:w="613" w:type="pct"/>
            <w:vAlign w:val="center"/>
          </w:tcPr>
          <w:p w14:paraId="0FBF43F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c>
          <w:tcPr>
            <w:tcW w:w="1532" w:type="pct"/>
            <w:vAlign w:val="center"/>
          </w:tcPr>
          <w:p w14:paraId="37A02A8F">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月河镇：</w:t>
            </w:r>
            <w:r>
              <w:rPr>
                <w:rFonts w:hint="eastAsia" w:ascii="Times New Roman" w:hAnsi="Times New Roman" w:eastAsia="楷体_GB2312"/>
                <w:bCs/>
                <w:sz w:val="24"/>
                <w:szCs w:val="32"/>
              </w:rPr>
              <w:t>川河村、先锋村、罗家营村、益兴村；</w:t>
            </w:r>
            <w:r>
              <w:rPr>
                <w:rFonts w:hint="eastAsia" w:ascii="Times New Roman" w:hAnsi="Times New Roman" w:eastAsia="楷体_GB2312"/>
                <w:b/>
                <w:bCs/>
                <w:sz w:val="24"/>
                <w:szCs w:val="32"/>
              </w:rPr>
              <w:t>庙沟镇：</w:t>
            </w:r>
            <w:r>
              <w:rPr>
                <w:rFonts w:hint="eastAsia" w:ascii="Times New Roman" w:hAnsi="Times New Roman" w:eastAsia="楷体_GB2312"/>
                <w:bCs/>
                <w:sz w:val="24"/>
                <w:szCs w:val="32"/>
              </w:rPr>
              <w:t>双喜村、中坪村；</w:t>
            </w:r>
            <w:r>
              <w:rPr>
                <w:rFonts w:hint="eastAsia" w:ascii="Times New Roman" w:hAnsi="Times New Roman" w:eastAsia="楷体_GB2312"/>
                <w:b/>
                <w:bCs/>
                <w:sz w:val="24"/>
                <w:szCs w:val="32"/>
              </w:rPr>
              <w:t>柴坪镇：</w:t>
            </w:r>
            <w:r>
              <w:rPr>
                <w:rFonts w:hint="eastAsia" w:ascii="Times New Roman" w:hAnsi="Times New Roman" w:eastAsia="楷体_GB2312"/>
                <w:bCs/>
                <w:sz w:val="24"/>
                <w:szCs w:val="32"/>
              </w:rPr>
              <w:t>建国村、柴坪村、向阳村、东瓜村；</w:t>
            </w:r>
            <w:r>
              <w:rPr>
                <w:rFonts w:hint="eastAsia" w:ascii="Times New Roman" w:hAnsi="Times New Roman" w:eastAsia="楷体_GB2312"/>
                <w:b/>
                <w:bCs/>
                <w:sz w:val="24"/>
                <w:szCs w:val="32"/>
              </w:rPr>
              <w:t>青铜关镇：</w:t>
            </w:r>
            <w:r>
              <w:rPr>
                <w:rFonts w:hint="eastAsia" w:ascii="Times New Roman" w:hAnsi="Times New Roman" w:eastAsia="楷体_GB2312"/>
                <w:bCs/>
                <w:sz w:val="24"/>
                <w:szCs w:val="32"/>
              </w:rPr>
              <w:t>旬河村</w:t>
            </w:r>
          </w:p>
        </w:tc>
        <w:tc>
          <w:tcPr>
            <w:tcW w:w="729" w:type="pct"/>
            <w:vAlign w:val="center"/>
          </w:tcPr>
          <w:p w14:paraId="168D8E2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c>
          <w:tcPr>
            <w:tcW w:w="494" w:type="pct"/>
            <w:vAlign w:val="center"/>
          </w:tcPr>
          <w:p w14:paraId="4F92948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陕政发〔2008〕34号</w:t>
            </w:r>
          </w:p>
        </w:tc>
      </w:tr>
      <w:tr w14:paraId="0E0D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restart"/>
            <w:vAlign w:val="center"/>
          </w:tcPr>
          <w:p w14:paraId="235EE84F">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国有天然林分布区</w:t>
            </w:r>
          </w:p>
        </w:tc>
        <w:tc>
          <w:tcPr>
            <w:tcW w:w="732" w:type="pct"/>
            <w:vAlign w:val="center"/>
          </w:tcPr>
          <w:p w14:paraId="0B02DE04">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黑窑沟国有林场国有天然林</w:t>
            </w:r>
          </w:p>
        </w:tc>
        <w:tc>
          <w:tcPr>
            <w:tcW w:w="408" w:type="pct"/>
            <w:vAlign w:val="center"/>
          </w:tcPr>
          <w:p w14:paraId="080C0597">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105.35</w:t>
            </w:r>
          </w:p>
        </w:tc>
        <w:tc>
          <w:tcPr>
            <w:tcW w:w="613" w:type="pct"/>
            <w:vMerge w:val="restart"/>
            <w:vAlign w:val="center"/>
          </w:tcPr>
          <w:p w14:paraId="503F25E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c>
          <w:tcPr>
            <w:tcW w:w="1532" w:type="pct"/>
            <w:vMerge w:val="restart"/>
            <w:vAlign w:val="center"/>
          </w:tcPr>
          <w:p w14:paraId="219EFE85">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桂林村、长坪村、坪胜村、栗扎坪村、平安村、月坪村、米粮寺村；</w:t>
            </w:r>
            <w:r>
              <w:rPr>
                <w:rFonts w:hint="eastAsia" w:ascii="Times New Roman" w:hAnsi="Times New Roman" w:eastAsia="楷体_GB2312"/>
                <w:b/>
                <w:bCs/>
                <w:sz w:val="24"/>
                <w:szCs w:val="32"/>
              </w:rPr>
              <w:t>月河镇：</w:t>
            </w:r>
            <w:r>
              <w:rPr>
                <w:rFonts w:hint="eastAsia" w:ascii="Times New Roman" w:hAnsi="Times New Roman" w:eastAsia="楷体_GB2312"/>
                <w:bCs/>
                <w:sz w:val="24"/>
                <w:szCs w:val="32"/>
              </w:rPr>
              <w:t>黄土岭村、八盘村；</w:t>
            </w:r>
            <w:r>
              <w:rPr>
                <w:rFonts w:hint="eastAsia" w:ascii="Times New Roman" w:hAnsi="Times New Roman" w:eastAsia="楷体_GB2312"/>
                <w:b/>
                <w:bCs/>
                <w:sz w:val="24"/>
                <w:szCs w:val="32"/>
              </w:rPr>
              <w:t>云盖寺镇：</w:t>
            </w:r>
            <w:r>
              <w:rPr>
                <w:rFonts w:hint="eastAsia" w:ascii="Times New Roman" w:hAnsi="Times New Roman" w:eastAsia="楷体_GB2312"/>
                <w:bCs/>
                <w:sz w:val="24"/>
                <w:szCs w:val="32"/>
              </w:rPr>
              <w:t>西洞村、东洞村、黑窑沟村、西华村；</w:t>
            </w:r>
            <w:r>
              <w:rPr>
                <w:rFonts w:hint="eastAsia" w:ascii="Times New Roman" w:hAnsi="Times New Roman" w:eastAsia="楷体_GB2312"/>
                <w:b/>
                <w:bCs/>
                <w:sz w:val="24"/>
                <w:szCs w:val="32"/>
              </w:rPr>
              <w:t>永乐街道办：</w:t>
            </w:r>
            <w:r>
              <w:rPr>
                <w:rFonts w:hint="eastAsia" w:ascii="Times New Roman" w:hAnsi="Times New Roman" w:eastAsia="楷体_GB2312"/>
                <w:bCs/>
                <w:sz w:val="24"/>
                <w:szCs w:val="32"/>
              </w:rPr>
              <w:t>王家坪社区；</w:t>
            </w:r>
            <w:r>
              <w:rPr>
                <w:rFonts w:hint="eastAsia" w:ascii="Times New Roman" w:hAnsi="Times New Roman" w:eastAsia="楷体_GB2312"/>
                <w:b/>
                <w:bCs/>
                <w:sz w:val="24"/>
                <w:szCs w:val="32"/>
              </w:rPr>
              <w:t>回龙镇：</w:t>
            </w:r>
            <w:r>
              <w:rPr>
                <w:rFonts w:hint="eastAsia" w:ascii="Times New Roman" w:hAnsi="Times New Roman" w:eastAsia="楷体_GB2312"/>
                <w:bCs/>
                <w:sz w:val="24"/>
                <w:szCs w:val="32"/>
              </w:rPr>
              <w:t>宏丰村</w:t>
            </w:r>
          </w:p>
        </w:tc>
        <w:tc>
          <w:tcPr>
            <w:tcW w:w="729" w:type="pct"/>
            <w:vMerge w:val="restart"/>
            <w:vAlign w:val="center"/>
          </w:tcPr>
          <w:p w14:paraId="6B96ECBC">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c>
          <w:tcPr>
            <w:tcW w:w="494" w:type="pct"/>
            <w:vMerge w:val="restart"/>
            <w:vAlign w:val="center"/>
          </w:tcPr>
          <w:p w14:paraId="1804DFE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r>
      <w:tr w14:paraId="1453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continue"/>
            <w:vAlign w:val="center"/>
          </w:tcPr>
          <w:p w14:paraId="3F3407F3">
            <w:pPr>
              <w:adjustRightInd w:val="0"/>
              <w:snapToGrid w:val="0"/>
              <w:spacing w:line="360" w:lineRule="exact"/>
              <w:jc w:val="center"/>
              <w:rPr>
                <w:rFonts w:ascii="Times New Roman" w:hAnsi="Times New Roman" w:eastAsia="楷体_GB2312"/>
                <w:b/>
                <w:bCs/>
                <w:sz w:val="24"/>
                <w:szCs w:val="32"/>
              </w:rPr>
            </w:pPr>
          </w:p>
        </w:tc>
        <w:tc>
          <w:tcPr>
            <w:tcW w:w="732" w:type="pct"/>
            <w:vAlign w:val="center"/>
          </w:tcPr>
          <w:p w14:paraId="74211016">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木王国有林场</w:t>
            </w:r>
          </w:p>
          <w:p w14:paraId="4A21BEC8">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国有天然林</w:t>
            </w:r>
          </w:p>
        </w:tc>
        <w:tc>
          <w:tcPr>
            <w:tcW w:w="408" w:type="pct"/>
            <w:vAlign w:val="center"/>
          </w:tcPr>
          <w:p w14:paraId="0BA0DFC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3</w:t>
            </w:r>
            <w:r>
              <w:rPr>
                <w:rFonts w:ascii="Times New Roman" w:hAnsi="Times New Roman" w:eastAsia="楷体_GB2312"/>
                <w:bCs/>
                <w:sz w:val="24"/>
                <w:szCs w:val="32"/>
              </w:rPr>
              <w:t>5.97</w:t>
            </w:r>
          </w:p>
        </w:tc>
        <w:tc>
          <w:tcPr>
            <w:tcW w:w="613" w:type="pct"/>
            <w:vMerge w:val="continue"/>
            <w:vAlign w:val="center"/>
          </w:tcPr>
          <w:p w14:paraId="35B52544">
            <w:pPr>
              <w:adjustRightInd w:val="0"/>
              <w:snapToGrid w:val="0"/>
              <w:spacing w:line="360" w:lineRule="exact"/>
              <w:jc w:val="center"/>
              <w:rPr>
                <w:rFonts w:ascii="Times New Roman" w:hAnsi="Times New Roman" w:eastAsia="楷体_GB2312"/>
                <w:bCs/>
                <w:sz w:val="24"/>
                <w:szCs w:val="32"/>
              </w:rPr>
            </w:pPr>
          </w:p>
        </w:tc>
        <w:tc>
          <w:tcPr>
            <w:tcW w:w="1532" w:type="pct"/>
            <w:vMerge w:val="continue"/>
            <w:vAlign w:val="center"/>
          </w:tcPr>
          <w:p w14:paraId="01636AFD">
            <w:pPr>
              <w:adjustRightInd w:val="0"/>
              <w:snapToGrid w:val="0"/>
              <w:spacing w:line="360" w:lineRule="exact"/>
              <w:rPr>
                <w:rFonts w:ascii="Times New Roman" w:hAnsi="Times New Roman" w:eastAsia="楷体_GB2312"/>
                <w:bCs/>
                <w:sz w:val="24"/>
                <w:szCs w:val="32"/>
              </w:rPr>
            </w:pPr>
          </w:p>
        </w:tc>
        <w:tc>
          <w:tcPr>
            <w:tcW w:w="729" w:type="pct"/>
            <w:vMerge w:val="continue"/>
            <w:vAlign w:val="center"/>
          </w:tcPr>
          <w:p w14:paraId="5E0C11BF">
            <w:pPr>
              <w:adjustRightInd w:val="0"/>
              <w:snapToGrid w:val="0"/>
              <w:spacing w:line="360" w:lineRule="exact"/>
              <w:jc w:val="center"/>
              <w:rPr>
                <w:rFonts w:ascii="Times New Roman" w:hAnsi="Times New Roman" w:eastAsia="楷体_GB2312"/>
                <w:bCs/>
                <w:sz w:val="24"/>
                <w:szCs w:val="32"/>
              </w:rPr>
            </w:pPr>
          </w:p>
        </w:tc>
        <w:tc>
          <w:tcPr>
            <w:tcW w:w="494" w:type="pct"/>
            <w:vMerge w:val="continue"/>
            <w:vAlign w:val="center"/>
          </w:tcPr>
          <w:p w14:paraId="1011C22E">
            <w:pPr>
              <w:adjustRightInd w:val="0"/>
              <w:snapToGrid w:val="0"/>
              <w:spacing w:line="360" w:lineRule="exact"/>
              <w:jc w:val="center"/>
              <w:rPr>
                <w:rFonts w:ascii="Times New Roman" w:hAnsi="Times New Roman" w:eastAsia="楷体_GB2312"/>
                <w:bCs/>
                <w:sz w:val="24"/>
                <w:szCs w:val="32"/>
              </w:rPr>
            </w:pPr>
          </w:p>
        </w:tc>
      </w:tr>
      <w:tr w14:paraId="0A33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restart"/>
            <w:vAlign w:val="center"/>
          </w:tcPr>
          <w:p w14:paraId="50FEF7D8">
            <w:pPr>
              <w:adjustRightInd w:val="0"/>
              <w:snapToGrid w:val="0"/>
              <w:spacing w:line="360" w:lineRule="exact"/>
              <w:jc w:val="center"/>
              <w:rPr>
                <w:rFonts w:ascii="Times New Roman" w:hAnsi="Times New Roman" w:eastAsia="楷体_GB2312"/>
                <w:b/>
                <w:bCs/>
                <w:sz w:val="24"/>
                <w:szCs w:val="32"/>
              </w:rPr>
            </w:pPr>
            <w:r>
              <w:rPr>
                <w:rFonts w:hint="eastAsia" w:ascii="Times New Roman" w:hAnsi="Times New Roman" w:eastAsia="楷体_GB2312"/>
                <w:b/>
                <w:bCs/>
                <w:sz w:val="24"/>
                <w:szCs w:val="32"/>
              </w:rPr>
              <w:t>饮用水水源保护区</w:t>
            </w:r>
          </w:p>
        </w:tc>
        <w:tc>
          <w:tcPr>
            <w:tcW w:w="732" w:type="pct"/>
            <w:vMerge w:val="restart"/>
            <w:vAlign w:val="center"/>
          </w:tcPr>
          <w:p w14:paraId="6076EFA2">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镇安城区集中式饮用水水源地</w:t>
            </w:r>
          </w:p>
        </w:tc>
        <w:tc>
          <w:tcPr>
            <w:tcW w:w="408" w:type="pct"/>
            <w:vMerge w:val="restart"/>
            <w:vAlign w:val="center"/>
          </w:tcPr>
          <w:p w14:paraId="4DD415B5">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1.06</w:t>
            </w:r>
          </w:p>
        </w:tc>
        <w:tc>
          <w:tcPr>
            <w:tcW w:w="613" w:type="pct"/>
            <w:vAlign w:val="center"/>
          </w:tcPr>
          <w:p w14:paraId="5C51A442">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一级保护区</w:t>
            </w:r>
            <w:r>
              <w:rPr>
                <w:rFonts w:hint="eastAsia" w:ascii="Times New Roman" w:hAnsi="Times New Roman" w:eastAsia="楷体_GB2312"/>
                <w:bCs/>
                <w:sz w:val="24"/>
                <w:szCs w:val="32"/>
              </w:rPr>
              <w:t>：0</w:t>
            </w:r>
            <w:r>
              <w:rPr>
                <w:rFonts w:ascii="Times New Roman" w:hAnsi="Times New Roman" w:eastAsia="楷体_GB2312"/>
                <w:bCs/>
                <w:sz w:val="24"/>
                <w:szCs w:val="32"/>
              </w:rPr>
              <w:t>.21</w:t>
            </w:r>
          </w:p>
        </w:tc>
        <w:tc>
          <w:tcPr>
            <w:tcW w:w="1532" w:type="pct"/>
            <w:vAlign w:val="center"/>
          </w:tcPr>
          <w:p w14:paraId="43175A35">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云盖寺镇：</w:t>
            </w:r>
            <w:r>
              <w:rPr>
                <w:rFonts w:hint="eastAsia" w:ascii="Times New Roman" w:hAnsi="Times New Roman" w:eastAsia="楷体_GB2312"/>
                <w:bCs/>
                <w:sz w:val="24"/>
                <w:szCs w:val="32"/>
              </w:rPr>
              <w:t>黑窑沟村、西华村</w:t>
            </w:r>
          </w:p>
        </w:tc>
        <w:tc>
          <w:tcPr>
            <w:tcW w:w="729" w:type="pct"/>
            <w:vMerge w:val="restart"/>
            <w:vAlign w:val="center"/>
          </w:tcPr>
          <w:p w14:paraId="71EC821C">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水源地保护区范围正在重新界定</w:t>
            </w:r>
          </w:p>
        </w:tc>
        <w:tc>
          <w:tcPr>
            <w:tcW w:w="494" w:type="pct"/>
            <w:vMerge w:val="restart"/>
            <w:vAlign w:val="center"/>
          </w:tcPr>
          <w:p w14:paraId="19486ABA">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陕政函〔2007〕125号</w:t>
            </w:r>
          </w:p>
        </w:tc>
      </w:tr>
      <w:tr w14:paraId="5A70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continue"/>
            <w:vAlign w:val="center"/>
          </w:tcPr>
          <w:p w14:paraId="694A4A86">
            <w:pPr>
              <w:adjustRightInd w:val="0"/>
              <w:snapToGrid w:val="0"/>
              <w:spacing w:line="360" w:lineRule="exact"/>
              <w:jc w:val="center"/>
              <w:rPr>
                <w:rFonts w:ascii="Times New Roman" w:hAnsi="Times New Roman" w:eastAsia="楷体_GB2312"/>
                <w:b/>
                <w:bCs/>
                <w:sz w:val="24"/>
                <w:szCs w:val="32"/>
              </w:rPr>
            </w:pPr>
          </w:p>
        </w:tc>
        <w:tc>
          <w:tcPr>
            <w:tcW w:w="732" w:type="pct"/>
            <w:vMerge w:val="continue"/>
            <w:vAlign w:val="center"/>
          </w:tcPr>
          <w:p w14:paraId="6219DEE7">
            <w:pPr>
              <w:adjustRightInd w:val="0"/>
              <w:snapToGrid w:val="0"/>
              <w:spacing w:line="360" w:lineRule="exact"/>
              <w:jc w:val="center"/>
              <w:rPr>
                <w:rFonts w:ascii="Times New Roman" w:hAnsi="Times New Roman" w:eastAsia="楷体_GB2312"/>
                <w:bCs/>
                <w:sz w:val="24"/>
                <w:szCs w:val="32"/>
              </w:rPr>
            </w:pPr>
          </w:p>
        </w:tc>
        <w:tc>
          <w:tcPr>
            <w:tcW w:w="408" w:type="pct"/>
            <w:vMerge w:val="continue"/>
            <w:vAlign w:val="center"/>
          </w:tcPr>
          <w:p w14:paraId="15893729">
            <w:pPr>
              <w:adjustRightInd w:val="0"/>
              <w:snapToGrid w:val="0"/>
              <w:spacing w:line="360" w:lineRule="exact"/>
              <w:jc w:val="center"/>
              <w:rPr>
                <w:rFonts w:ascii="Times New Roman" w:hAnsi="Times New Roman" w:eastAsia="楷体_GB2312"/>
                <w:bCs/>
                <w:sz w:val="24"/>
                <w:szCs w:val="32"/>
              </w:rPr>
            </w:pPr>
          </w:p>
        </w:tc>
        <w:tc>
          <w:tcPr>
            <w:tcW w:w="613" w:type="pct"/>
            <w:vAlign w:val="center"/>
          </w:tcPr>
          <w:p w14:paraId="4C15E14E">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二级保护区</w:t>
            </w:r>
            <w:r>
              <w:rPr>
                <w:rFonts w:hint="eastAsia" w:ascii="Times New Roman" w:hAnsi="Times New Roman" w:eastAsia="楷体_GB2312"/>
                <w:bCs/>
                <w:sz w:val="24"/>
                <w:szCs w:val="32"/>
              </w:rPr>
              <w:t>：0</w:t>
            </w:r>
            <w:r>
              <w:rPr>
                <w:rFonts w:ascii="Times New Roman" w:hAnsi="Times New Roman" w:eastAsia="楷体_GB2312"/>
                <w:bCs/>
                <w:sz w:val="24"/>
                <w:szCs w:val="32"/>
              </w:rPr>
              <w:t>.37</w:t>
            </w:r>
          </w:p>
        </w:tc>
        <w:tc>
          <w:tcPr>
            <w:tcW w:w="1532" w:type="pct"/>
            <w:vAlign w:val="center"/>
          </w:tcPr>
          <w:p w14:paraId="7E715D20">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云盖寺镇：</w:t>
            </w:r>
            <w:r>
              <w:rPr>
                <w:rFonts w:hint="eastAsia" w:ascii="Times New Roman" w:hAnsi="Times New Roman" w:eastAsia="楷体_GB2312"/>
                <w:bCs/>
                <w:sz w:val="24"/>
                <w:szCs w:val="32"/>
              </w:rPr>
              <w:t>黑窑沟村</w:t>
            </w:r>
          </w:p>
        </w:tc>
        <w:tc>
          <w:tcPr>
            <w:tcW w:w="729" w:type="pct"/>
            <w:vMerge w:val="continue"/>
            <w:vAlign w:val="center"/>
          </w:tcPr>
          <w:p w14:paraId="5E0E9520">
            <w:pPr>
              <w:adjustRightInd w:val="0"/>
              <w:snapToGrid w:val="0"/>
              <w:spacing w:line="360" w:lineRule="exact"/>
              <w:jc w:val="center"/>
              <w:rPr>
                <w:rFonts w:ascii="Times New Roman" w:hAnsi="Times New Roman" w:eastAsia="楷体_GB2312"/>
                <w:bCs/>
                <w:sz w:val="24"/>
                <w:szCs w:val="32"/>
              </w:rPr>
            </w:pPr>
          </w:p>
        </w:tc>
        <w:tc>
          <w:tcPr>
            <w:tcW w:w="494" w:type="pct"/>
            <w:vMerge w:val="continue"/>
            <w:vAlign w:val="center"/>
          </w:tcPr>
          <w:p w14:paraId="707BDA3E">
            <w:pPr>
              <w:adjustRightInd w:val="0"/>
              <w:snapToGrid w:val="0"/>
              <w:spacing w:line="360" w:lineRule="exact"/>
              <w:jc w:val="center"/>
              <w:rPr>
                <w:rFonts w:ascii="Times New Roman" w:hAnsi="Times New Roman" w:eastAsia="楷体_GB2312"/>
                <w:bCs/>
                <w:sz w:val="24"/>
                <w:szCs w:val="32"/>
              </w:rPr>
            </w:pPr>
          </w:p>
        </w:tc>
      </w:tr>
      <w:tr w14:paraId="088C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continue"/>
            <w:vAlign w:val="center"/>
          </w:tcPr>
          <w:p w14:paraId="26EF6E98">
            <w:pPr>
              <w:adjustRightInd w:val="0"/>
              <w:snapToGrid w:val="0"/>
              <w:spacing w:line="360" w:lineRule="exact"/>
              <w:jc w:val="center"/>
              <w:rPr>
                <w:rFonts w:ascii="Times New Roman" w:hAnsi="Times New Roman" w:eastAsia="楷体_GB2312"/>
                <w:b/>
                <w:bCs/>
                <w:sz w:val="24"/>
                <w:szCs w:val="32"/>
              </w:rPr>
            </w:pPr>
          </w:p>
        </w:tc>
        <w:tc>
          <w:tcPr>
            <w:tcW w:w="732" w:type="pct"/>
            <w:vMerge w:val="continue"/>
            <w:vAlign w:val="center"/>
          </w:tcPr>
          <w:p w14:paraId="4A728932">
            <w:pPr>
              <w:adjustRightInd w:val="0"/>
              <w:snapToGrid w:val="0"/>
              <w:spacing w:line="360" w:lineRule="exact"/>
              <w:jc w:val="center"/>
              <w:rPr>
                <w:rFonts w:ascii="Times New Roman" w:hAnsi="Times New Roman" w:eastAsia="楷体_GB2312"/>
                <w:bCs/>
                <w:sz w:val="24"/>
                <w:szCs w:val="32"/>
              </w:rPr>
            </w:pPr>
          </w:p>
        </w:tc>
        <w:tc>
          <w:tcPr>
            <w:tcW w:w="408" w:type="pct"/>
            <w:vMerge w:val="continue"/>
            <w:vAlign w:val="center"/>
          </w:tcPr>
          <w:p w14:paraId="2706240C">
            <w:pPr>
              <w:adjustRightInd w:val="0"/>
              <w:snapToGrid w:val="0"/>
              <w:spacing w:line="360" w:lineRule="exact"/>
              <w:jc w:val="center"/>
              <w:rPr>
                <w:rFonts w:ascii="Times New Roman" w:hAnsi="Times New Roman" w:eastAsia="楷体_GB2312"/>
                <w:bCs/>
                <w:sz w:val="24"/>
                <w:szCs w:val="32"/>
              </w:rPr>
            </w:pPr>
          </w:p>
        </w:tc>
        <w:tc>
          <w:tcPr>
            <w:tcW w:w="613" w:type="pct"/>
            <w:vAlign w:val="center"/>
          </w:tcPr>
          <w:p w14:paraId="31A1B4E1">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准保护区</w:t>
            </w:r>
            <w:r>
              <w:rPr>
                <w:rFonts w:hint="eastAsia" w:ascii="Times New Roman" w:hAnsi="Times New Roman" w:eastAsia="楷体_GB2312"/>
                <w:bCs/>
                <w:sz w:val="24"/>
                <w:szCs w:val="32"/>
              </w:rPr>
              <w:t>：</w:t>
            </w:r>
            <w:r>
              <w:rPr>
                <w:rFonts w:ascii="Times New Roman" w:hAnsi="Times New Roman" w:eastAsia="楷体_GB2312"/>
                <w:bCs/>
                <w:sz w:val="24"/>
                <w:szCs w:val="32"/>
              </w:rPr>
              <w:t>0.48</w:t>
            </w:r>
          </w:p>
        </w:tc>
        <w:tc>
          <w:tcPr>
            <w:tcW w:w="1532" w:type="pct"/>
            <w:vAlign w:val="center"/>
          </w:tcPr>
          <w:p w14:paraId="23A4F162">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云盖寺镇：</w:t>
            </w:r>
            <w:r>
              <w:rPr>
                <w:rFonts w:hint="eastAsia" w:ascii="Times New Roman" w:hAnsi="Times New Roman" w:eastAsia="楷体_GB2312"/>
                <w:bCs/>
                <w:sz w:val="24"/>
                <w:szCs w:val="32"/>
              </w:rPr>
              <w:t>云镇村、黑窑沟村</w:t>
            </w:r>
          </w:p>
        </w:tc>
        <w:tc>
          <w:tcPr>
            <w:tcW w:w="729" w:type="pct"/>
            <w:vMerge w:val="continue"/>
            <w:vAlign w:val="center"/>
          </w:tcPr>
          <w:p w14:paraId="09CD07AF">
            <w:pPr>
              <w:adjustRightInd w:val="0"/>
              <w:snapToGrid w:val="0"/>
              <w:spacing w:line="360" w:lineRule="exact"/>
              <w:jc w:val="center"/>
              <w:rPr>
                <w:rFonts w:ascii="Times New Roman" w:hAnsi="Times New Roman" w:eastAsia="楷体_GB2312"/>
                <w:bCs/>
                <w:sz w:val="24"/>
                <w:szCs w:val="32"/>
              </w:rPr>
            </w:pPr>
          </w:p>
        </w:tc>
        <w:tc>
          <w:tcPr>
            <w:tcW w:w="494" w:type="pct"/>
            <w:vMerge w:val="continue"/>
            <w:vAlign w:val="center"/>
          </w:tcPr>
          <w:p w14:paraId="19AC7834">
            <w:pPr>
              <w:adjustRightInd w:val="0"/>
              <w:snapToGrid w:val="0"/>
              <w:spacing w:line="360" w:lineRule="exact"/>
              <w:jc w:val="center"/>
              <w:rPr>
                <w:rFonts w:ascii="Times New Roman" w:hAnsi="Times New Roman" w:eastAsia="楷体_GB2312"/>
                <w:bCs/>
                <w:sz w:val="24"/>
                <w:szCs w:val="32"/>
              </w:rPr>
            </w:pPr>
          </w:p>
        </w:tc>
      </w:tr>
      <w:tr w14:paraId="7085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restart"/>
            <w:vAlign w:val="center"/>
          </w:tcPr>
          <w:p w14:paraId="02203BDE">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海拔高程</w:t>
            </w:r>
          </w:p>
        </w:tc>
        <w:tc>
          <w:tcPr>
            <w:tcW w:w="732" w:type="pct"/>
            <w:vAlign w:val="center"/>
          </w:tcPr>
          <w:p w14:paraId="29A55C4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2</w:t>
            </w:r>
            <w:r>
              <w:rPr>
                <w:rFonts w:ascii="Times New Roman" w:hAnsi="Times New Roman" w:eastAsia="楷体_GB2312"/>
                <w:bCs/>
                <w:sz w:val="24"/>
                <w:szCs w:val="32"/>
              </w:rPr>
              <w:t>000米以上区域</w:t>
            </w:r>
          </w:p>
        </w:tc>
        <w:tc>
          <w:tcPr>
            <w:tcW w:w="408" w:type="pct"/>
            <w:vAlign w:val="center"/>
          </w:tcPr>
          <w:p w14:paraId="47D13B0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3</w:t>
            </w:r>
            <w:r>
              <w:rPr>
                <w:rFonts w:ascii="Times New Roman" w:hAnsi="Times New Roman" w:eastAsia="楷体_GB2312"/>
                <w:bCs/>
                <w:sz w:val="24"/>
                <w:szCs w:val="32"/>
              </w:rPr>
              <w:t>2.55</w:t>
            </w:r>
          </w:p>
        </w:tc>
        <w:tc>
          <w:tcPr>
            <w:tcW w:w="613" w:type="pct"/>
            <w:vAlign w:val="center"/>
          </w:tcPr>
          <w:p w14:paraId="40D341D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c>
          <w:tcPr>
            <w:tcW w:w="1532" w:type="pct"/>
            <w:vAlign w:val="center"/>
          </w:tcPr>
          <w:p w14:paraId="03924A20">
            <w:pPr>
              <w:adjustRightInd w:val="0"/>
              <w:snapToGrid w:val="0"/>
              <w:spacing w:line="360" w:lineRule="exact"/>
              <w:rPr>
                <w:rFonts w:ascii="Times New Roman" w:hAnsi="Times New Roman" w:eastAsia="楷体_GB2312"/>
                <w:b/>
                <w:bCs/>
                <w:sz w:val="24"/>
                <w:szCs w:val="32"/>
              </w:rPr>
            </w:pP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桂林村、栗扎坪村；</w:t>
            </w:r>
            <w:r>
              <w:rPr>
                <w:rFonts w:hint="eastAsia" w:ascii="Times New Roman" w:hAnsi="Times New Roman" w:eastAsia="楷体_GB2312"/>
                <w:b/>
                <w:bCs/>
                <w:sz w:val="24"/>
                <w:szCs w:val="32"/>
              </w:rPr>
              <w:t>云盖寺镇：</w:t>
            </w:r>
            <w:r>
              <w:rPr>
                <w:rFonts w:hint="eastAsia" w:ascii="Times New Roman" w:hAnsi="Times New Roman" w:eastAsia="楷体_GB2312"/>
                <w:bCs/>
                <w:sz w:val="24"/>
                <w:szCs w:val="32"/>
              </w:rPr>
              <w:t>西华村、黑窑沟村</w:t>
            </w:r>
          </w:p>
        </w:tc>
        <w:tc>
          <w:tcPr>
            <w:tcW w:w="729" w:type="pct"/>
            <w:vAlign w:val="center"/>
          </w:tcPr>
          <w:p w14:paraId="1E325FC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划入核心保护区</w:t>
            </w:r>
          </w:p>
        </w:tc>
        <w:tc>
          <w:tcPr>
            <w:tcW w:w="494" w:type="pct"/>
            <w:vAlign w:val="center"/>
          </w:tcPr>
          <w:p w14:paraId="0D90367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r>
      <w:tr w14:paraId="0376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continue"/>
            <w:vAlign w:val="center"/>
          </w:tcPr>
          <w:p w14:paraId="4E15CD75">
            <w:pPr>
              <w:adjustRightInd w:val="0"/>
              <w:snapToGrid w:val="0"/>
              <w:spacing w:line="360" w:lineRule="exact"/>
              <w:jc w:val="center"/>
              <w:rPr>
                <w:rFonts w:ascii="Times New Roman" w:hAnsi="Times New Roman" w:eastAsia="楷体_GB2312"/>
                <w:b/>
                <w:bCs/>
                <w:sz w:val="24"/>
                <w:szCs w:val="32"/>
              </w:rPr>
            </w:pPr>
          </w:p>
        </w:tc>
        <w:tc>
          <w:tcPr>
            <w:tcW w:w="732" w:type="pct"/>
            <w:vAlign w:val="center"/>
          </w:tcPr>
          <w:p w14:paraId="3577E66F">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500</w:t>
            </w:r>
            <w:r>
              <w:rPr>
                <w:rFonts w:hint="eastAsia" w:ascii="Times New Roman" w:hAnsi="Times New Roman" w:eastAsia="楷体_GB2312"/>
                <w:bCs/>
                <w:sz w:val="24"/>
                <w:szCs w:val="32"/>
              </w:rPr>
              <w:t>-</w:t>
            </w:r>
            <w:r>
              <w:rPr>
                <w:rFonts w:ascii="Times New Roman" w:hAnsi="Times New Roman" w:eastAsia="楷体_GB2312"/>
                <w:bCs/>
                <w:sz w:val="24"/>
                <w:szCs w:val="32"/>
              </w:rPr>
              <w:t>2000米区域</w:t>
            </w:r>
          </w:p>
        </w:tc>
        <w:tc>
          <w:tcPr>
            <w:tcW w:w="408" w:type="pct"/>
            <w:vAlign w:val="center"/>
          </w:tcPr>
          <w:p w14:paraId="53CFFD80">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2</w:t>
            </w:r>
            <w:r>
              <w:rPr>
                <w:rFonts w:ascii="Times New Roman" w:hAnsi="Times New Roman" w:eastAsia="楷体_GB2312"/>
                <w:bCs/>
                <w:sz w:val="24"/>
                <w:szCs w:val="32"/>
              </w:rPr>
              <w:t>30.10</w:t>
            </w:r>
          </w:p>
        </w:tc>
        <w:tc>
          <w:tcPr>
            <w:tcW w:w="613" w:type="pct"/>
            <w:vAlign w:val="center"/>
          </w:tcPr>
          <w:p w14:paraId="6D3CF4C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c>
          <w:tcPr>
            <w:tcW w:w="1532" w:type="pct"/>
            <w:vAlign w:val="center"/>
          </w:tcPr>
          <w:p w14:paraId="5687A254">
            <w:pPr>
              <w:adjustRightInd w:val="0"/>
              <w:snapToGrid w:val="0"/>
              <w:spacing w:line="360" w:lineRule="exact"/>
              <w:rPr>
                <w:rFonts w:ascii="Times New Roman" w:hAnsi="Times New Roman" w:eastAsia="楷体_GB2312"/>
                <w:b/>
                <w:bCs/>
                <w:sz w:val="24"/>
                <w:szCs w:val="32"/>
              </w:rPr>
            </w:pP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桂林村、栗扎坪村、平安村、月坪村、米粮寺村、朝阳村；</w:t>
            </w:r>
            <w:r>
              <w:rPr>
                <w:rFonts w:hint="eastAsia" w:ascii="Times New Roman" w:hAnsi="Times New Roman" w:eastAsia="楷体_GB2312"/>
                <w:b/>
                <w:bCs/>
                <w:sz w:val="24"/>
                <w:szCs w:val="32"/>
              </w:rPr>
              <w:t>云盖寺镇：</w:t>
            </w:r>
            <w:r>
              <w:rPr>
                <w:rFonts w:hint="eastAsia" w:ascii="Times New Roman" w:hAnsi="Times New Roman" w:eastAsia="楷体_GB2312"/>
                <w:bCs/>
                <w:sz w:val="24"/>
                <w:szCs w:val="32"/>
              </w:rPr>
              <w:t>西洞村、东洞村、黑窑沟村、西华村；</w:t>
            </w:r>
            <w:r>
              <w:rPr>
                <w:rFonts w:hint="eastAsia" w:ascii="Times New Roman" w:hAnsi="Times New Roman" w:eastAsia="楷体_GB2312"/>
                <w:b/>
                <w:bCs/>
                <w:sz w:val="24"/>
                <w:szCs w:val="32"/>
              </w:rPr>
              <w:t>月河镇：</w:t>
            </w:r>
            <w:r>
              <w:rPr>
                <w:rFonts w:hint="eastAsia" w:ascii="Times New Roman" w:hAnsi="Times New Roman" w:eastAsia="楷体_GB2312"/>
                <w:bCs/>
                <w:sz w:val="24"/>
                <w:szCs w:val="32"/>
              </w:rPr>
              <w:t>太白庙村、八盘村；</w:t>
            </w:r>
            <w:r>
              <w:rPr>
                <w:rFonts w:hint="eastAsia" w:ascii="Times New Roman" w:hAnsi="Times New Roman" w:eastAsia="楷体_GB2312"/>
                <w:b/>
                <w:bCs/>
                <w:sz w:val="24"/>
                <w:szCs w:val="32"/>
              </w:rPr>
              <w:t>回龙镇：</w:t>
            </w:r>
            <w:r>
              <w:rPr>
                <w:rFonts w:hint="eastAsia" w:ascii="Times New Roman" w:hAnsi="Times New Roman" w:eastAsia="楷体_GB2312"/>
                <w:bCs/>
                <w:sz w:val="24"/>
                <w:szCs w:val="32"/>
              </w:rPr>
              <w:t>宏丰村、双龙村；</w:t>
            </w:r>
            <w:r>
              <w:rPr>
                <w:rFonts w:hint="eastAsia" w:ascii="Times New Roman" w:hAnsi="Times New Roman" w:eastAsia="楷体_GB2312"/>
                <w:b/>
                <w:bCs/>
                <w:sz w:val="24"/>
                <w:szCs w:val="32"/>
              </w:rPr>
              <w:t>永乐街道办：</w:t>
            </w:r>
            <w:r>
              <w:rPr>
                <w:rFonts w:hint="eastAsia" w:ascii="Times New Roman" w:hAnsi="Times New Roman" w:eastAsia="楷体_GB2312"/>
                <w:bCs/>
                <w:sz w:val="24"/>
                <w:szCs w:val="32"/>
              </w:rPr>
              <w:t>太平村、杏树坡村、锡铜沟村、青槐社区、王家坪社区；</w:t>
            </w:r>
            <w:r>
              <w:rPr>
                <w:rFonts w:hint="eastAsia" w:ascii="Times New Roman" w:hAnsi="Times New Roman" w:eastAsia="楷体_GB2312"/>
                <w:b/>
                <w:bCs/>
                <w:sz w:val="24"/>
                <w:szCs w:val="32"/>
              </w:rPr>
              <w:t>高峰镇：</w:t>
            </w:r>
            <w:r>
              <w:rPr>
                <w:rFonts w:hint="eastAsia" w:ascii="Times New Roman" w:hAnsi="Times New Roman" w:eastAsia="楷体_GB2312"/>
                <w:bCs/>
                <w:sz w:val="24"/>
                <w:szCs w:val="32"/>
              </w:rPr>
              <w:t>渔坪村、两河村；</w:t>
            </w:r>
            <w:r>
              <w:rPr>
                <w:rFonts w:hint="eastAsia" w:ascii="Times New Roman" w:hAnsi="Times New Roman" w:eastAsia="楷体_GB2312"/>
                <w:b/>
                <w:bCs/>
                <w:sz w:val="24"/>
                <w:szCs w:val="32"/>
              </w:rPr>
              <w:t>西口回族镇：</w:t>
            </w:r>
            <w:r>
              <w:rPr>
                <w:rFonts w:hint="eastAsia" w:ascii="Times New Roman" w:hAnsi="Times New Roman" w:eastAsia="楷体_GB2312"/>
                <w:bCs/>
                <w:sz w:val="24"/>
                <w:szCs w:val="32"/>
              </w:rPr>
              <w:t>长发村、石景村、上河村；</w:t>
            </w:r>
            <w:r>
              <w:rPr>
                <w:rFonts w:hint="eastAsia" w:ascii="Times New Roman" w:hAnsi="Times New Roman" w:eastAsia="楷体_GB2312"/>
                <w:b/>
                <w:bCs/>
                <w:sz w:val="24"/>
                <w:szCs w:val="32"/>
              </w:rPr>
              <w:t>茅坪回族镇：</w:t>
            </w:r>
            <w:r>
              <w:rPr>
                <w:rFonts w:hint="eastAsia" w:ascii="Times New Roman" w:hAnsi="Times New Roman" w:eastAsia="楷体_GB2312"/>
                <w:bCs/>
                <w:sz w:val="24"/>
                <w:szCs w:val="32"/>
              </w:rPr>
              <w:t>红光村、五星村、茅坪村；</w:t>
            </w:r>
            <w:r>
              <w:rPr>
                <w:rFonts w:hint="eastAsia" w:ascii="Times New Roman" w:hAnsi="Times New Roman" w:eastAsia="楷体_GB2312"/>
                <w:b/>
                <w:bCs/>
                <w:sz w:val="24"/>
                <w:szCs w:val="32"/>
              </w:rPr>
              <w:t>达仁镇：</w:t>
            </w:r>
            <w:r>
              <w:rPr>
                <w:rFonts w:hint="eastAsia" w:ascii="Times New Roman" w:hAnsi="Times New Roman" w:eastAsia="楷体_GB2312"/>
                <w:bCs/>
                <w:sz w:val="24"/>
                <w:szCs w:val="32"/>
              </w:rPr>
              <w:t>玉泉村、双河村、象园村</w:t>
            </w:r>
          </w:p>
        </w:tc>
        <w:tc>
          <w:tcPr>
            <w:tcW w:w="729" w:type="pct"/>
            <w:vAlign w:val="center"/>
          </w:tcPr>
          <w:p w14:paraId="2C6B4C28">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划入重点保护区</w:t>
            </w:r>
          </w:p>
        </w:tc>
        <w:tc>
          <w:tcPr>
            <w:tcW w:w="494" w:type="pct"/>
            <w:vAlign w:val="center"/>
          </w:tcPr>
          <w:p w14:paraId="2B5553A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r>
      <w:tr w14:paraId="4C11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restart"/>
            <w:vAlign w:val="center"/>
          </w:tcPr>
          <w:p w14:paraId="62854C3E">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支脉两侧各</w:t>
            </w:r>
            <w:r>
              <w:rPr>
                <w:rFonts w:hint="eastAsia" w:ascii="Times New Roman" w:hAnsi="Times New Roman" w:eastAsia="楷体_GB2312"/>
                <w:b/>
                <w:bCs/>
                <w:sz w:val="24"/>
                <w:szCs w:val="32"/>
              </w:rPr>
              <w:t>5</w:t>
            </w:r>
            <w:r>
              <w:rPr>
                <w:rFonts w:ascii="Times New Roman" w:hAnsi="Times New Roman" w:eastAsia="楷体_GB2312"/>
                <w:b/>
                <w:bCs/>
                <w:sz w:val="24"/>
                <w:szCs w:val="32"/>
              </w:rPr>
              <w:t>00米以内区域</w:t>
            </w:r>
          </w:p>
        </w:tc>
        <w:tc>
          <w:tcPr>
            <w:tcW w:w="732" w:type="pct"/>
            <w:vAlign w:val="center"/>
          </w:tcPr>
          <w:p w14:paraId="2ECAD0D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旬月支脉</w:t>
            </w:r>
          </w:p>
        </w:tc>
        <w:tc>
          <w:tcPr>
            <w:tcW w:w="408" w:type="pct"/>
            <w:vAlign w:val="center"/>
          </w:tcPr>
          <w:p w14:paraId="35BAE50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7.87</w:t>
            </w:r>
          </w:p>
        </w:tc>
        <w:tc>
          <w:tcPr>
            <w:tcW w:w="613" w:type="pct"/>
            <w:vAlign w:val="center"/>
          </w:tcPr>
          <w:p w14:paraId="5DF03ED6">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c>
          <w:tcPr>
            <w:tcW w:w="1532" w:type="pct"/>
            <w:vAlign w:val="center"/>
          </w:tcPr>
          <w:p w14:paraId="64A79206">
            <w:pPr>
              <w:adjustRightInd w:val="0"/>
              <w:snapToGrid w:val="0"/>
              <w:spacing w:line="360" w:lineRule="exact"/>
              <w:rPr>
                <w:rFonts w:ascii="Times New Roman" w:hAnsi="Times New Roman" w:eastAsia="楷体_GB2312"/>
                <w:b/>
                <w:bCs/>
                <w:sz w:val="24"/>
                <w:szCs w:val="32"/>
              </w:rPr>
            </w:pPr>
            <w:r>
              <w:rPr>
                <w:rFonts w:ascii="Times New Roman" w:hAnsi="Times New Roman" w:eastAsia="楷体_GB2312"/>
                <w:b/>
                <w:bCs/>
                <w:sz w:val="24"/>
                <w:szCs w:val="24"/>
              </w:rPr>
              <w:t>木王镇</w:t>
            </w:r>
            <w:r>
              <w:rPr>
                <w:rFonts w:hint="eastAsia" w:ascii="Times New Roman" w:hAnsi="Times New Roman" w:eastAsia="楷体_GB2312"/>
                <w:b/>
                <w:bCs/>
                <w:sz w:val="24"/>
                <w:szCs w:val="24"/>
              </w:rPr>
              <w:t>：</w:t>
            </w:r>
            <w:r>
              <w:rPr>
                <w:rFonts w:hint="eastAsia" w:ascii="Times New Roman" w:hAnsi="Times New Roman" w:eastAsia="楷体_GB2312"/>
                <w:bCs/>
                <w:sz w:val="24"/>
                <w:szCs w:val="32"/>
              </w:rPr>
              <w:t>桂林村、栗扎坪村、坪胜村</w:t>
            </w:r>
          </w:p>
        </w:tc>
        <w:tc>
          <w:tcPr>
            <w:tcW w:w="729" w:type="pct"/>
            <w:vMerge w:val="restart"/>
            <w:vAlign w:val="center"/>
          </w:tcPr>
          <w:p w14:paraId="0B99DACE">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划入核心保护区</w:t>
            </w:r>
          </w:p>
        </w:tc>
        <w:tc>
          <w:tcPr>
            <w:tcW w:w="494" w:type="pct"/>
            <w:vAlign w:val="center"/>
          </w:tcPr>
          <w:p w14:paraId="286BD68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r>
      <w:tr w14:paraId="6B94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Merge w:val="continue"/>
            <w:vAlign w:val="center"/>
          </w:tcPr>
          <w:p w14:paraId="56E7431E">
            <w:pPr>
              <w:adjustRightInd w:val="0"/>
              <w:snapToGrid w:val="0"/>
              <w:spacing w:line="360" w:lineRule="exact"/>
              <w:jc w:val="center"/>
              <w:rPr>
                <w:rFonts w:ascii="Times New Roman" w:hAnsi="Times New Roman" w:eastAsia="楷体_GB2312"/>
                <w:b/>
                <w:bCs/>
                <w:sz w:val="24"/>
                <w:szCs w:val="32"/>
              </w:rPr>
            </w:pPr>
          </w:p>
        </w:tc>
        <w:tc>
          <w:tcPr>
            <w:tcW w:w="732" w:type="pct"/>
            <w:vAlign w:val="center"/>
          </w:tcPr>
          <w:p w14:paraId="0106B270">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旬乾支脉</w:t>
            </w:r>
          </w:p>
        </w:tc>
        <w:tc>
          <w:tcPr>
            <w:tcW w:w="408" w:type="pct"/>
            <w:vAlign w:val="center"/>
          </w:tcPr>
          <w:p w14:paraId="78F832AC">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2.62</w:t>
            </w:r>
          </w:p>
        </w:tc>
        <w:tc>
          <w:tcPr>
            <w:tcW w:w="613" w:type="pct"/>
            <w:vAlign w:val="center"/>
          </w:tcPr>
          <w:p w14:paraId="64BCF55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c>
          <w:tcPr>
            <w:tcW w:w="1532" w:type="pct"/>
            <w:vAlign w:val="center"/>
          </w:tcPr>
          <w:p w14:paraId="401CA535">
            <w:pPr>
              <w:adjustRightInd w:val="0"/>
              <w:snapToGrid w:val="0"/>
              <w:spacing w:line="360" w:lineRule="exact"/>
              <w:rPr>
                <w:rFonts w:ascii="Times New Roman" w:hAnsi="Times New Roman" w:eastAsia="楷体_GB2312"/>
                <w:b/>
                <w:bCs/>
                <w:sz w:val="24"/>
                <w:szCs w:val="32"/>
              </w:rPr>
            </w:pPr>
            <w:r>
              <w:rPr>
                <w:rFonts w:hint="eastAsia" w:ascii="Times New Roman" w:hAnsi="Times New Roman" w:eastAsia="楷体_GB2312"/>
                <w:b/>
                <w:bCs/>
                <w:sz w:val="24"/>
                <w:szCs w:val="32"/>
              </w:rPr>
              <w:t>云盖寺镇：</w:t>
            </w:r>
            <w:r>
              <w:rPr>
                <w:rFonts w:hint="eastAsia" w:ascii="Times New Roman" w:hAnsi="Times New Roman" w:eastAsia="楷体_GB2312"/>
                <w:bCs/>
                <w:sz w:val="24"/>
                <w:szCs w:val="32"/>
              </w:rPr>
              <w:t>东洞村、黑窑沟村、西华村；</w:t>
            </w:r>
            <w:r>
              <w:rPr>
                <w:rFonts w:hint="eastAsia" w:ascii="Times New Roman" w:hAnsi="Times New Roman" w:eastAsia="楷体_GB2312"/>
                <w:b/>
                <w:bCs/>
                <w:sz w:val="24"/>
                <w:szCs w:val="32"/>
              </w:rPr>
              <w:t>回龙镇：</w:t>
            </w:r>
            <w:r>
              <w:rPr>
                <w:rFonts w:hint="eastAsia" w:ascii="Times New Roman" w:hAnsi="Times New Roman" w:eastAsia="楷体_GB2312"/>
                <w:bCs/>
                <w:sz w:val="24"/>
                <w:szCs w:val="32"/>
              </w:rPr>
              <w:t>宏丰村、双龙村；</w:t>
            </w:r>
            <w:r>
              <w:rPr>
                <w:rFonts w:hint="eastAsia" w:ascii="Times New Roman" w:hAnsi="Times New Roman" w:eastAsia="楷体_GB2312"/>
                <w:b/>
                <w:bCs/>
                <w:sz w:val="24"/>
                <w:szCs w:val="32"/>
              </w:rPr>
              <w:t>月河镇：</w:t>
            </w:r>
            <w:r>
              <w:rPr>
                <w:rFonts w:hint="eastAsia" w:ascii="Times New Roman" w:hAnsi="Times New Roman" w:eastAsia="楷体_GB2312"/>
                <w:bCs/>
                <w:sz w:val="24"/>
                <w:szCs w:val="32"/>
              </w:rPr>
              <w:t>八盘村</w:t>
            </w:r>
          </w:p>
        </w:tc>
        <w:tc>
          <w:tcPr>
            <w:tcW w:w="729" w:type="pct"/>
            <w:vMerge w:val="continue"/>
            <w:vAlign w:val="center"/>
          </w:tcPr>
          <w:p w14:paraId="25FAA83D">
            <w:pPr>
              <w:adjustRightInd w:val="0"/>
              <w:snapToGrid w:val="0"/>
              <w:spacing w:line="360" w:lineRule="exact"/>
              <w:jc w:val="center"/>
              <w:rPr>
                <w:rFonts w:ascii="Times New Roman" w:hAnsi="Times New Roman" w:eastAsia="楷体_GB2312"/>
                <w:bCs/>
                <w:sz w:val="24"/>
                <w:szCs w:val="32"/>
              </w:rPr>
            </w:pPr>
          </w:p>
        </w:tc>
        <w:tc>
          <w:tcPr>
            <w:tcW w:w="494" w:type="pct"/>
            <w:vAlign w:val="center"/>
          </w:tcPr>
          <w:p w14:paraId="1C14F8AA">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w:t>
            </w:r>
          </w:p>
        </w:tc>
      </w:tr>
      <w:tr w14:paraId="56CB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pct"/>
            <w:vAlign w:val="center"/>
          </w:tcPr>
          <w:p w14:paraId="34CEA256">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省级文物保护单位</w:t>
            </w:r>
          </w:p>
        </w:tc>
        <w:tc>
          <w:tcPr>
            <w:tcW w:w="1753" w:type="pct"/>
            <w:gridSpan w:val="3"/>
            <w:vAlign w:val="center"/>
          </w:tcPr>
          <w:p w14:paraId="7636959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倪氏民居、黑龙庙、朝阳观、米粮寺及烈士陵墓、太阳山乾初洞摩崖题刻、云盖寺及云盖寺镇街民居、刘氏民居、百神洞黑龙庙、茅坡寨、文家庙石拱桥、杨家垭清真寺、五星村崖居岩画、塔云山、白塔寨遗址</w:t>
            </w:r>
          </w:p>
        </w:tc>
        <w:tc>
          <w:tcPr>
            <w:tcW w:w="1532" w:type="pct"/>
            <w:vAlign w:val="center"/>
          </w:tcPr>
          <w:p w14:paraId="271554E4">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柴坪镇：</w:t>
            </w:r>
            <w:r>
              <w:rPr>
                <w:rFonts w:hint="eastAsia" w:ascii="Times New Roman" w:hAnsi="Times New Roman" w:eastAsia="楷体_GB2312"/>
                <w:bCs/>
                <w:sz w:val="24"/>
                <w:szCs w:val="32"/>
              </w:rPr>
              <w:t>安坪村、桃园村；</w:t>
            </w:r>
            <w:r>
              <w:rPr>
                <w:rFonts w:hint="eastAsia" w:ascii="Times New Roman" w:hAnsi="Times New Roman" w:eastAsia="楷体_GB2312"/>
                <w:b/>
                <w:bCs/>
                <w:sz w:val="24"/>
                <w:szCs w:val="32"/>
              </w:rPr>
              <w:t>西口回族镇：</w:t>
            </w:r>
            <w:r>
              <w:rPr>
                <w:rFonts w:hint="eastAsia" w:ascii="Times New Roman" w:hAnsi="Times New Roman" w:eastAsia="楷体_GB2312"/>
                <w:bCs/>
                <w:sz w:val="24"/>
                <w:szCs w:val="32"/>
              </w:rPr>
              <w:t>上河村、石门村、青树村；</w:t>
            </w:r>
            <w:r>
              <w:rPr>
                <w:rFonts w:hint="eastAsia" w:ascii="Times New Roman" w:hAnsi="Times New Roman" w:eastAsia="楷体_GB2312"/>
                <w:b/>
                <w:bCs/>
                <w:sz w:val="24"/>
                <w:szCs w:val="32"/>
              </w:rPr>
              <w:t>木王镇：</w:t>
            </w:r>
            <w:r>
              <w:rPr>
                <w:rFonts w:hint="eastAsia" w:ascii="Times New Roman" w:hAnsi="Times New Roman" w:eastAsia="楷体_GB2312"/>
                <w:bCs/>
                <w:sz w:val="24"/>
                <w:szCs w:val="32"/>
              </w:rPr>
              <w:t>月坪村、米粮寺村；</w:t>
            </w:r>
            <w:r>
              <w:rPr>
                <w:rFonts w:hint="eastAsia" w:ascii="Times New Roman" w:hAnsi="Times New Roman" w:eastAsia="楷体_GB2312"/>
                <w:b/>
                <w:bCs/>
                <w:sz w:val="24"/>
                <w:szCs w:val="32"/>
              </w:rPr>
              <w:t>铁厂镇：</w:t>
            </w:r>
            <w:r>
              <w:rPr>
                <w:rFonts w:hint="eastAsia" w:ascii="Times New Roman" w:hAnsi="Times New Roman" w:eastAsia="楷体_GB2312"/>
                <w:bCs/>
                <w:sz w:val="24"/>
                <w:szCs w:val="32"/>
              </w:rPr>
              <w:t>新民村；</w:t>
            </w:r>
            <w:r>
              <w:rPr>
                <w:rFonts w:hint="eastAsia" w:ascii="Times New Roman" w:hAnsi="Times New Roman" w:eastAsia="楷体_GB2312"/>
                <w:b/>
                <w:bCs/>
                <w:sz w:val="24"/>
                <w:szCs w:val="32"/>
              </w:rPr>
              <w:t>云盖寺镇：</w:t>
            </w:r>
            <w:r>
              <w:rPr>
                <w:rFonts w:hint="eastAsia" w:ascii="Times New Roman" w:hAnsi="Times New Roman" w:eastAsia="楷体_GB2312"/>
                <w:bCs/>
                <w:sz w:val="24"/>
                <w:szCs w:val="32"/>
              </w:rPr>
              <w:t>黑窑沟村、云镇社区、岩湾村；</w:t>
            </w:r>
            <w:r>
              <w:rPr>
                <w:rFonts w:hint="eastAsia" w:ascii="Times New Roman" w:hAnsi="Times New Roman" w:eastAsia="楷体_GB2312"/>
                <w:b/>
                <w:bCs/>
                <w:sz w:val="24"/>
                <w:szCs w:val="32"/>
              </w:rPr>
              <w:t>庙沟镇：</w:t>
            </w:r>
            <w:r>
              <w:rPr>
                <w:rFonts w:hint="eastAsia" w:ascii="Times New Roman" w:hAnsi="Times New Roman" w:eastAsia="楷体_GB2312"/>
                <w:bCs/>
                <w:sz w:val="24"/>
                <w:szCs w:val="32"/>
              </w:rPr>
              <w:t>蒿坪村；</w:t>
            </w:r>
            <w:r>
              <w:rPr>
                <w:rFonts w:hint="eastAsia" w:ascii="Times New Roman" w:hAnsi="Times New Roman" w:eastAsia="楷体_GB2312"/>
                <w:b/>
                <w:bCs/>
                <w:sz w:val="24"/>
                <w:szCs w:val="32"/>
              </w:rPr>
              <w:t>茅坪回族镇：</w:t>
            </w:r>
            <w:r>
              <w:rPr>
                <w:rFonts w:hint="eastAsia" w:ascii="Times New Roman" w:hAnsi="Times New Roman" w:eastAsia="楷体_GB2312"/>
                <w:bCs/>
                <w:sz w:val="24"/>
                <w:szCs w:val="32"/>
              </w:rPr>
              <w:t>五星村；</w:t>
            </w:r>
            <w:r>
              <w:rPr>
                <w:rFonts w:hint="eastAsia" w:ascii="Times New Roman" w:hAnsi="Times New Roman" w:eastAsia="楷体_GB2312"/>
                <w:b/>
                <w:bCs/>
                <w:sz w:val="24"/>
                <w:szCs w:val="32"/>
              </w:rPr>
              <w:t>米粮镇：</w:t>
            </w:r>
            <w:r>
              <w:rPr>
                <w:rFonts w:hint="eastAsia" w:ascii="Times New Roman" w:hAnsi="Times New Roman" w:eastAsia="楷体_GB2312"/>
                <w:bCs/>
                <w:sz w:val="24"/>
                <w:szCs w:val="32"/>
              </w:rPr>
              <w:t>树坪村</w:t>
            </w:r>
          </w:p>
        </w:tc>
        <w:tc>
          <w:tcPr>
            <w:tcW w:w="1223" w:type="pct"/>
            <w:gridSpan w:val="2"/>
            <w:vAlign w:val="center"/>
          </w:tcPr>
          <w:p w14:paraId="0BA512B3">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具体详见专栏4</w:t>
            </w:r>
          </w:p>
        </w:tc>
      </w:tr>
      <w:tr w14:paraId="1801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vAlign w:val="center"/>
          </w:tcPr>
          <w:p w14:paraId="48C06577">
            <w:pPr>
              <w:spacing w:line="560" w:lineRule="exact"/>
              <w:rPr>
                <w:rFonts w:ascii="Times New Roman" w:hAnsi="Times New Roman" w:eastAsia="仿宋_GB2312"/>
                <w:b/>
                <w:bCs/>
                <w:sz w:val="24"/>
                <w:szCs w:val="24"/>
              </w:rPr>
            </w:pPr>
            <w:r>
              <w:rPr>
                <w:rFonts w:ascii="Times New Roman" w:hAnsi="Times New Roman" w:eastAsia="仿宋_GB2312"/>
                <w:b/>
                <w:bCs/>
                <w:sz w:val="24"/>
                <w:szCs w:val="24"/>
              </w:rPr>
              <w:t>注</w:t>
            </w:r>
            <w:r>
              <w:rPr>
                <w:rFonts w:hint="eastAsia" w:ascii="Times New Roman" w:hAnsi="Times New Roman" w:eastAsia="仿宋_GB2312"/>
                <w:b/>
                <w:bCs/>
                <w:sz w:val="24"/>
                <w:szCs w:val="24"/>
              </w:rPr>
              <w:t>：秦岭生态环境保护单元名录整合归并优化后，以优化调整后的为准。</w:t>
            </w:r>
          </w:p>
        </w:tc>
      </w:tr>
    </w:tbl>
    <w:p w14:paraId="365A5984">
      <w:pPr>
        <w:pStyle w:val="22"/>
        <w:ind w:firstLine="640"/>
        <w:rPr>
          <w:shd w:val="clear" w:color="auto" w:fill="auto"/>
        </w:rPr>
      </w:pPr>
    </w:p>
    <w:p w14:paraId="5BD3B929">
      <w:pPr>
        <w:pStyle w:val="22"/>
        <w:ind w:firstLine="640"/>
        <w:rPr>
          <w:shd w:val="clear" w:color="auto" w:fill="auto"/>
        </w:rPr>
        <w:sectPr>
          <w:pgSz w:w="16838" w:h="11906" w:orient="landscape"/>
          <w:pgMar w:top="1531" w:right="1531" w:bottom="1531" w:left="1418" w:header="851" w:footer="992" w:gutter="0"/>
          <w:pgNumType w:fmt="numberInDash"/>
          <w:cols w:space="425" w:num="1"/>
          <w:docGrid w:type="lines" w:linePitch="312" w:charSpace="0"/>
        </w:sectPr>
      </w:pPr>
    </w:p>
    <w:p w14:paraId="755B0E65">
      <w:pPr>
        <w:pStyle w:val="32"/>
        <w:spacing w:before="156" w:after="156"/>
        <w:ind w:firstLine="640"/>
        <w:rPr>
          <w:shd w:val="clear" w:color="auto" w:fill="auto"/>
        </w:rPr>
      </w:pPr>
      <w:bookmarkStart w:id="12" w:name="_Toc59298930"/>
      <w:r>
        <w:rPr>
          <w:rFonts w:hint="eastAsia"/>
          <w:shd w:val="clear" w:color="auto" w:fill="auto"/>
        </w:rPr>
        <w:t>二、重点保护单元概况</w:t>
      </w:r>
      <w:bookmarkEnd w:id="12"/>
    </w:p>
    <w:p w14:paraId="41441F1E">
      <w:pPr>
        <w:pStyle w:val="29"/>
        <w:spacing w:before="156" w:after="156"/>
        <w:ind w:firstLine="643"/>
        <w:rPr>
          <w:shd w:val="clear" w:color="auto" w:fill="auto"/>
        </w:rPr>
      </w:pPr>
      <w:r>
        <w:rPr>
          <w:rFonts w:hint="eastAsia"/>
          <w:shd w:val="clear" w:color="auto" w:fill="auto"/>
        </w:rPr>
        <w:t>（一）陕西鹰嘴石省级自然保护区</w:t>
      </w:r>
    </w:p>
    <w:p w14:paraId="6D6AA76C">
      <w:pPr>
        <w:pStyle w:val="22"/>
        <w:ind w:firstLine="640"/>
        <w:rPr>
          <w:b/>
          <w:shd w:val="clear" w:color="auto" w:fill="auto"/>
        </w:rPr>
      </w:pPr>
      <w:r>
        <w:rPr>
          <w:rFonts w:hint="eastAsia"/>
          <w:shd w:val="clear" w:color="auto" w:fill="auto"/>
        </w:rPr>
        <w:t>陕西鹰嘴石省级自然保护区是以保护大熊猫潜在栖息地、羚牛、林麝为主的森林野生动植物类型的省级自然保护区。保护区地处秦岭南坡中段、镇安县西部，以镇安县木王林场国有林为主体，东西宽10公里，南北长17公里，总面积114</w:t>
      </w:r>
      <w:r>
        <w:rPr>
          <w:shd w:val="clear" w:color="auto" w:fill="auto"/>
        </w:rPr>
        <w:t>.</w:t>
      </w:r>
      <w:r>
        <w:rPr>
          <w:rFonts w:hint="eastAsia"/>
          <w:shd w:val="clear" w:color="auto" w:fill="auto"/>
        </w:rPr>
        <w:t>62平方公里，其中核心区面积32</w:t>
      </w:r>
      <w:r>
        <w:rPr>
          <w:shd w:val="clear" w:color="auto" w:fill="auto"/>
        </w:rPr>
        <w:t>.</w:t>
      </w:r>
      <w:r>
        <w:rPr>
          <w:rFonts w:hint="eastAsia"/>
          <w:shd w:val="clear" w:color="auto" w:fill="auto"/>
        </w:rPr>
        <w:t>258平方公里，缓冲区总面积27</w:t>
      </w:r>
      <w:r>
        <w:rPr>
          <w:shd w:val="clear" w:color="auto" w:fill="auto"/>
        </w:rPr>
        <w:t>.</w:t>
      </w:r>
      <w:r>
        <w:rPr>
          <w:rFonts w:hint="eastAsia"/>
          <w:shd w:val="clear" w:color="auto" w:fill="auto"/>
        </w:rPr>
        <w:t>812平方公里，实验区面积为54</w:t>
      </w:r>
      <w:r>
        <w:rPr>
          <w:shd w:val="clear" w:color="auto" w:fill="auto"/>
        </w:rPr>
        <w:t>.</w:t>
      </w:r>
      <w:r>
        <w:rPr>
          <w:rFonts w:hint="eastAsia"/>
          <w:shd w:val="clear" w:color="auto" w:fill="auto"/>
        </w:rPr>
        <w:t>55平方公里。保护区内野生动植物资源十分丰富，有高等种子植物138科、685属、1341种，其中国家I级重点保护植物1种，国家II级重点保护植物7种，国家</w:t>
      </w:r>
      <w:r>
        <w:rPr>
          <w:rFonts w:hint="eastAsia"/>
          <w:shd w:val="clear" w:color="auto" w:fill="auto"/>
          <w:lang w:eastAsia="zh-CN"/>
        </w:rPr>
        <w:t>Ⅲ级</w:t>
      </w:r>
      <w:r>
        <w:rPr>
          <w:rFonts w:hint="eastAsia"/>
          <w:shd w:val="clear" w:color="auto" w:fill="auto"/>
        </w:rPr>
        <w:t>重点保护植物9种；有陆生脊椎动物28目，72科，190种，其中国家I级保护动物4种，II级保护动物15种。</w:t>
      </w:r>
    </w:p>
    <w:p w14:paraId="6FCC54DC">
      <w:pPr>
        <w:pStyle w:val="29"/>
        <w:spacing w:before="156" w:after="156"/>
        <w:ind w:firstLine="643"/>
        <w:rPr>
          <w:shd w:val="clear" w:color="auto" w:fill="auto"/>
        </w:rPr>
      </w:pPr>
      <w:r>
        <w:rPr>
          <w:rFonts w:hint="eastAsia"/>
          <w:shd w:val="clear" w:color="auto" w:fill="auto"/>
        </w:rPr>
        <w:t>（二）陕西木王国家森林公园</w:t>
      </w:r>
    </w:p>
    <w:p w14:paraId="0CE07469">
      <w:pPr>
        <w:pStyle w:val="22"/>
        <w:ind w:firstLine="640"/>
        <w:rPr>
          <w:b/>
          <w:shd w:val="clear" w:color="auto" w:fill="auto"/>
        </w:rPr>
      </w:pPr>
      <w:r>
        <w:rPr>
          <w:rFonts w:hint="eastAsia"/>
          <w:shd w:val="clear" w:color="auto" w:fill="auto"/>
        </w:rPr>
        <w:t>陕西木王国家森林公园地处秦岭南坡中段，位于陕西省镇安县西部木王国有林场境内，是一个以游憩观光、休闲度假为主体功能，同时兼有科学考察、科普教育、林特产品生产等附属功能的森林生态旅游胜地。森林公园东西宽约12.5公里，南北长约13公里，总面积36</w:t>
      </w:r>
      <w:r>
        <w:rPr>
          <w:shd w:val="clear" w:color="auto" w:fill="auto"/>
        </w:rPr>
        <w:t>.</w:t>
      </w:r>
      <w:r>
        <w:rPr>
          <w:rFonts w:hint="eastAsia"/>
          <w:shd w:val="clear" w:color="auto" w:fill="auto"/>
        </w:rPr>
        <w:t>16平方公里，其中核心景观区面积1</w:t>
      </w:r>
      <w:r>
        <w:rPr>
          <w:shd w:val="clear" w:color="auto" w:fill="auto"/>
        </w:rPr>
        <w:t>.68平方公里</w:t>
      </w:r>
      <w:r>
        <w:rPr>
          <w:rFonts w:hint="eastAsia"/>
          <w:shd w:val="clear" w:color="auto" w:fill="auto"/>
        </w:rPr>
        <w:t>，生态保育区面积3</w:t>
      </w:r>
      <w:r>
        <w:rPr>
          <w:shd w:val="clear" w:color="auto" w:fill="auto"/>
        </w:rPr>
        <w:t>.06平方公里</w:t>
      </w:r>
      <w:r>
        <w:rPr>
          <w:rFonts w:hint="eastAsia"/>
          <w:shd w:val="clear" w:color="auto" w:fill="auto"/>
        </w:rPr>
        <w:t>，森林旅游区面积3</w:t>
      </w:r>
      <w:r>
        <w:rPr>
          <w:shd w:val="clear" w:color="auto" w:fill="auto"/>
        </w:rPr>
        <w:t>1.42平方公里</w:t>
      </w:r>
      <w:r>
        <w:rPr>
          <w:rFonts w:hint="eastAsia"/>
          <w:shd w:val="clear" w:color="auto" w:fill="auto"/>
        </w:rPr>
        <w:t>。</w:t>
      </w:r>
    </w:p>
    <w:p w14:paraId="00F17345">
      <w:pPr>
        <w:pStyle w:val="29"/>
        <w:spacing w:before="156" w:after="156"/>
        <w:ind w:firstLine="643"/>
        <w:rPr>
          <w:shd w:val="clear" w:color="auto" w:fill="auto"/>
        </w:rPr>
      </w:pPr>
      <w:r>
        <w:rPr>
          <w:rFonts w:hint="eastAsia"/>
          <w:shd w:val="clear" w:color="auto" w:fill="auto"/>
        </w:rPr>
        <w:t>（三）旬河重要湿地镇安段</w:t>
      </w:r>
    </w:p>
    <w:p w14:paraId="49DFD776">
      <w:pPr>
        <w:pStyle w:val="22"/>
        <w:ind w:firstLine="640"/>
        <w:rPr>
          <w:shd w:val="clear" w:color="auto" w:fill="auto"/>
        </w:rPr>
      </w:pPr>
      <w:r>
        <w:rPr>
          <w:rFonts w:hint="eastAsia"/>
          <w:shd w:val="clear" w:color="auto" w:fill="auto"/>
        </w:rPr>
        <w:t>旬河重要湿地镇安段主要是从月河镇川河村到青铜关镇旬河村，流经月河、庙沟、柴坪、青铜关4镇，</w:t>
      </w:r>
      <w:r>
        <w:rPr>
          <w:shd w:val="clear" w:color="auto" w:fill="auto"/>
        </w:rPr>
        <w:t>主要</w:t>
      </w:r>
      <w:r>
        <w:rPr>
          <w:rFonts w:hint="eastAsia"/>
          <w:shd w:val="clear" w:color="auto" w:fill="auto"/>
        </w:rPr>
        <w:t>包括旬河河道、河滩，全长71.4公里，面积6</w:t>
      </w:r>
      <w:r>
        <w:rPr>
          <w:shd w:val="clear" w:color="auto" w:fill="auto"/>
        </w:rPr>
        <w:t>.4121平方公里</w:t>
      </w:r>
      <w:r>
        <w:rPr>
          <w:rFonts w:hint="eastAsia"/>
          <w:shd w:val="clear" w:color="auto" w:fill="auto"/>
        </w:rPr>
        <w:t>。</w:t>
      </w:r>
    </w:p>
    <w:p w14:paraId="27179B52">
      <w:pPr>
        <w:pStyle w:val="29"/>
        <w:spacing w:before="156" w:after="156"/>
        <w:ind w:firstLine="643"/>
        <w:rPr>
          <w:shd w:val="clear" w:color="auto" w:fill="auto"/>
        </w:rPr>
      </w:pPr>
      <w:r>
        <w:rPr>
          <w:rFonts w:hint="eastAsia"/>
          <w:shd w:val="clear" w:color="auto" w:fill="auto"/>
        </w:rPr>
        <w:t>（四）国有天然林分布区</w:t>
      </w:r>
    </w:p>
    <w:p w14:paraId="691DC310">
      <w:pPr>
        <w:pStyle w:val="22"/>
        <w:ind w:firstLine="640"/>
        <w:rPr>
          <w:shd w:val="clear" w:color="auto" w:fill="auto"/>
        </w:rPr>
      </w:pPr>
      <w:r>
        <w:rPr>
          <w:shd w:val="clear" w:color="auto" w:fill="auto"/>
        </w:rPr>
        <w:t>镇安县</w:t>
      </w:r>
      <w:r>
        <w:rPr>
          <w:rFonts w:hint="eastAsia"/>
          <w:shd w:val="clear" w:color="auto" w:fill="auto"/>
        </w:rPr>
        <w:t>国有</w:t>
      </w:r>
      <w:r>
        <w:rPr>
          <w:shd w:val="clear" w:color="auto" w:fill="auto"/>
        </w:rPr>
        <w:t>天然林主要分布在黑窑沟</w:t>
      </w:r>
      <w:r>
        <w:rPr>
          <w:rFonts w:hint="eastAsia"/>
          <w:shd w:val="clear" w:color="auto" w:fill="auto"/>
        </w:rPr>
        <w:t>、</w:t>
      </w:r>
      <w:r>
        <w:rPr>
          <w:shd w:val="clear" w:color="auto" w:fill="auto"/>
        </w:rPr>
        <w:t>木王国有林场</w:t>
      </w:r>
      <w:r>
        <w:rPr>
          <w:rFonts w:hint="eastAsia"/>
          <w:shd w:val="clear" w:color="auto" w:fill="auto"/>
        </w:rPr>
        <w:t>。黑窑沟国有林场位于镇安县西北部，经营总面积</w:t>
      </w:r>
      <w:r>
        <w:rPr>
          <w:shd w:val="clear" w:color="auto" w:fill="auto"/>
        </w:rPr>
        <w:t>189.34</w:t>
      </w:r>
      <w:r>
        <w:rPr>
          <w:rFonts w:hint="eastAsia"/>
          <w:shd w:val="clear" w:color="auto" w:fill="auto"/>
        </w:rPr>
        <w:t>平方公里，其中国有天然林面积1</w:t>
      </w:r>
      <w:r>
        <w:rPr>
          <w:shd w:val="clear" w:color="auto" w:fill="auto"/>
        </w:rPr>
        <w:t>05.35平方公里</w:t>
      </w:r>
      <w:r>
        <w:rPr>
          <w:rFonts w:hint="eastAsia"/>
          <w:shd w:val="clear" w:color="auto" w:fill="auto"/>
        </w:rPr>
        <w:t>；木王国有林场位于镇安县西部，210国道和西康铁路、西康高速公路之间，距镇安县城78公里，经营总面积</w:t>
      </w:r>
      <w:r>
        <w:rPr>
          <w:shd w:val="clear" w:color="auto" w:fill="auto"/>
        </w:rPr>
        <w:t>248.05平方公里</w:t>
      </w:r>
      <w:r>
        <w:rPr>
          <w:rFonts w:hint="eastAsia"/>
          <w:shd w:val="clear" w:color="auto" w:fill="auto"/>
        </w:rPr>
        <w:t>，其中国有天然林分布面积为1</w:t>
      </w:r>
      <w:r>
        <w:rPr>
          <w:shd w:val="clear" w:color="auto" w:fill="auto"/>
        </w:rPr>
        <w:t>41.32平方公里</w:t>
      </w:r>
      <w:r>
        <w:rPr>
          <w:rFonts w:hint="eastAsia"/>
          <w:shd w:val="clear" w:color="auto" w:fill="auto"/>
        </w:rPr>
        <w:t>。</w:t>
      </w:r>
    </w:p>
    <w:p w14:paraId="1A818B03">
      <w:pPr>
        <w:pStyle w:val="29"/>
        <w:spacing w:before="156" w:after="156"/>
        <w:ind w:firstLine="643"/>
        <w:rPr>
          <w:shd w:val="clear" w:color="auto" w:fill="auto"/>
        </w:rPr>
      </w:pPr>
      <w:r>
        <w:rPr>
          <w:rFonts w:hint="eastAsia"/>
          <w:shd w:val="clear" w:color="auto" w:fill="auto"/>
        </w:rPr>
        <w:t>（五）镇安城区集中式饮用水水源地</w:t>
      </w:r>
    </w:p>
    <w:p w14:paraId="0E21D92E">
      <w:pPr>
        <w:pStyle w:val="22"/>
        <w:ind w:firstLine="640"/>
        <w:rPr>
          <w:shd w:val="clear" w:color="auto" w:fill="auto"/>
        </w:rPr>
      </w:pPr>
      <w:r>
        <w:rPr>
          <w:rFonts w:hint="eastAsia"/>
          <w:shd w:val="clear" w:color="auto" w:fill="auto"/>
        </w:rPr>
        <w:t>镇安城区集中式饮用水水源地，属河流型饮用水水源地，位于云盖寺镇西华村黑窑沟，距镇安县城区23公里。保护区总面积</w:t>
      </w:r>
      <w:r>
        <w:rPr>
          <w:shd w:val="clear" w:color="auto" w:fill="auto"/>
        </w:rPr>
        <w:t>1.06</w:t>
      </w:r>
      <w:r>
        <w:rPr>
          <w:rFonts w:hint="eastAsia"/>
          <w:shd w:val="clear" w:color="auto" w:fill="auto"/>
        </w:rPr>
        <w:t>平方公里，其中一级保护区为取水点石梯子上游1000米至下游100米的水域及河岸水平距离各100米的陆域，总面积</w:t>
      </w:r>
      <w:r>
        <w:rPr>
          <w:shd w:val="clear" w:color="auto" w:fill="auto"/>
        </w:rPr>
        <w:t>0.21</w:t>
      </w:r>
      <w:r>
        <w:rPr>
          <w:rFonts w:hint="eastAsia"/>
          <w:shd w:val="clear" w:color="auto" w:fill="auto"/>
        </w:rPr>
        <w:t>平方公里；二级保护区为一级保护区上界上溯2000米水域及沿岸纵深与河岸水平距离各200米的陆域，总面积</w:t>
      </w:r>
      <w:r>
        <w:rPr>
          <w:shd w:val="clear" w:color="auto" w:fill="auto"/>
        </w:rPr>
        <w:t>0.37</w:t>
      </w:r>
      <w:r>
        <w:rPr>
          <w:rFonts w:hint="eastAsia"/>
          <w:shd w:val="clear" w:color="auto" w:fill="auto"/>
        </w:rPr>
        <w:t>平方公里；准保护区为二级保护区上界上溯3000米水域及沿岸纵深与河岸水平距离各300米的陆域，总面积</w:t>
      </w:r>
      <w:r>
        <w:rPr>
          <w:shd w:val="clear" w:color="auto" w:fill="auto"/>
        </w:rPr>
        <w:t>0.48</w:t>
      </w:r>
      <w:r>
        <w:rPr>
          <w:rFonts w:hint="eastAsia"/>
          <w:shd w:val="clear" w:color="auto" w:fill="auto"/>
        </w:rPr>
        <w:t>平方公里。保护区水质状况良好，每季度对其进行监测，各项指标符合《地表水环境质量标准》（GB3838-2002）</w:t>
      </w:r>
      <w:r>
        <w:rPr>
          <w:rFonts w:cs="Times New Roman"/>
          <w:shd w:val="clear" w:color="auto" w:fill="auto"/>
        </w:rPr>
        <w:t>Ⅱ</w:t>
      </w:r>
      <w:r>
        <w:rPr>
          <w:rFonts w:hint="eastAsia"/>
          <w:shd w:val="clear" w:color="auto" w:fill="auto"/>
        </w:rPr>
        <w:t>级标准。目前，镇安城区集中式饮用水水源地正在由河流型水源地调整为水库型水源地，因此水源地保护区的范围正在重新界定，待保护区最新数据批复后，再进行调整。</w:t>
      </w:r>
    </w:p>
    <w:p w14:paraId="1A3F6F34">
      <w:pPr>
        <w:pStyle w:val="29"/>
        <w:spacing w:before="156" w:after="156"/>
        <w:ind w:firstLine="643"/>
        <w:rPr>
          <w:shd w:val="clear" w:color="auto" w:fill="auto"/>
        </w:rPr>
      </w:pPr>
      <w:r>
        <w:rPr>
          <w:rFonts w:hint="eastAsia"/>
          <w:shd w:val="clear" w:color="auto" w:fill="auto"/>
        </w:rPr>
        <w:t>（六）省级文物保护单位</w:t>
      </w:r>
    </w:p>
    <w:p w14:paraId="0E99DC29">
      <w:pPr>
        <w:pStyle w:val="22"/>
        <w:ind w:firstLine="640"/>
        <w:rPr>
          <w:shd w:val="clear" w:color="auto" w:fill="auto"/>
        </w:rPr>
      </w:pPr>
      <w:r>
        <w:rPr>
          <w:shd w:val="clear" w:color="auto" w:fill="auto"/>
        </w:rPr>
        <w:t>据统计</w:t>
      </w:r>
      <w:r>
        <w:rPr>
          <w:rFonts w:hint="eastAsia"/>
          <w:shd w:val="clear" w:color="auto" w:fill="auto"/>
        </w:rPr>
        <w:t>，</w:t>
      </w:r>
      <w:r>
        <w:rPr>
          <w:shd w:val="clear" w:color="auto" w:fill="auto"/>
        </w:rPr>
        <w:t>目前镇安县有</w:t>
      </w:r>
      <w:r>
        <w:rPr>
          <w:rFonts w:hint="eastAsia"/>
          <w:shd w:val="clear" w:color="auto" w:fill="auto"/>
        </w:rPr>
        <w:t>倪氏民居、黑龙庙、朝阳观、米粮寺及烈士陵墓、太阳山乾初洞摩崖题刻、云盖寺及云盖寺镇街民居、刘氏民居、百神洞黑龙庙、茅坡寨、文家庙石拱桥、杨家垭清真寺、五星村崖居岩画、塔云山、白塔寨遗址等1</w:t>
      </w:r>
      <w:r>
        <w:rPr>
          <w:shd w:val="clear" w:color="auto" w:fill="auto"/>
        </w:rPr>
        <w:t>4处</w:t>
      </w:r>
      <w:r>
        <w:rPr>
          <w:rFonts w:hint="eastAsia"/>
          <w:shd w:val="clear" w:color="auto" w:fill="auto"/>
        </w:rPr>
        <w:t>省级文物保护单位，具体详见专栏4。</w:t>
      </w:r>
    </w:p>
    <w:p w14:paraId="792319E0">
      <w:pPr>
        <w:pStyle w:val="38"/>
        <w:rPr>
          <w:shd w:val="clear" w:color="auto" w:fill="auto"/>
        </w:rPr>
      </w:pPr>
      <w:r>
        <w:rPr>
          <w:shd w:val="clear" w:color="auto" w:fill="auto"/>
        </w:rPr>
        <w:drawing>
          <wp:inline distT="0" distB="0" distL="0" distR="0">
            <wp:extent cx="5212715" cy="3161030"/>
            <wp:effectExtent l="0" t="0" r="698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7446" cy="3164190"/>
                    </a:xfrm>
                    <a:prstGeom prst="rect">
                      <a:avLst/>
                    </a:prstGeom>
                    <a:noFill/>
                  </pic:spPr>
                </pic:pic>
              </a:graphicData>
            </a:graphic>
          </wp:inline>
        </w:drawing>
      </w:r>
    </w:p>
    <w:p w14:paraId="49A9B1F2">
      <w:pPr>
        <w:pStyle w:val="36"/>
      </w:pPr>
      <w:r>
        <w:rPr>
          <w:shd w:val="clear" w:color="auto" w:fill="auto"/>
        </w:rPr>
        <w:t>图</w:t>
      </w:r>
      <w:r>
        <w:rPr>
          <w:rFonts w:hint="eastAsia"/>
          <w:shd w:val="clear" w:color="auto" w:fill="auto"/>
        </w:rPr>
        <w:t xml:space="preserve"> </w:t>
      </w:r>
      <w:r>
        <w:rPr>
          <w:shd w:val="clear" w:color="auto" w:fill="auto"/>
        </w:rPr>
        <w:t>2 镇安县历史文化遗产规划图</w:t>
      </w:r>
    </w:p>
    <w:p w14:paraId="70B7B2D1">
      <w:pPr>
        <w:pStyle w:val="22"/>
        <w:ind w:firstLine="640"/>
        <w:rPr>
          <w:shd w:val="clear" w:color="auto" w:fill="auto"/>
        </w:rPr>
      </w:pPr>
    </w:p>
    <w:p w14:paraId="5C6DBE1C">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399"/>
        <w:gridCol w:w="815"/>
        <w:gridCol w:w="1049"/>
        <w:gridCol w:w="1772"/>
        <w:gridCol w:w="6914"/>
        <w:gridCol w:w="1578"/>
      </w:tblGrid>
      <w:tr w14:paraId="04E3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00" w:type="pct"/>
            <w:gridSpan w:val="7"/>
            <w:vAlign w:val="center"/>
          </w:tcPr>
          <w:p w14:paraId="63A32586">
            <w:pPr>
              <w:pStyle w:val="36"/>
            </w:pPr>
            <w:r>
              <w:t>专栏</w:t>
            </w:r>
            <w:r>
              <w:rPr>
                <w:rFonts w:hint="eastAsia"/>
              </w:rPr>
              <w:t xml:space="preserve"> </w:t>
            </w:r>
            <w:r>
              <w:t>4 镇安县省级文物保护单位简况</w:t>
            </w:r>
          </w:p>
        </w:tc>
      </w:tr>
      <w:tr w14:paraId="1864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05" w:type="pct"/>
            <w:vAlign w:val="center"/>
          </w:tcPr>
          <w:p w14:paraId="25499B28">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序号</w:t>
            </w:r>
          </w:p>
        </w:tc>
        <w:tc>
          <w:tcPr>
            <w:tcW w:w="496" w:type="pct"/>
            <w:vAlign w:val="center"/>
          </w:tcPr>
          <w:p w14:paraId="13D223A0">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文物单位</w:t>
            </w:r>
          </w:p>
          <w:p w14:paraId="7FAD7FA5">
            <w:pPr>
              <w:adjustRightInd w:val="0"/>
              <w:snapToGrid w:val="0"/>
              <w:spacing w:line="360" w:lineRule="exact"/>
              <w:jc w:val="center"/>
              <w:rPr>
                <w:rFonts w:ascii="Times New Roman" w:hAnsi="Times New Roman" w:eastAsia="楷体_GB2312"/>
                <w:b/>
                <w:bCs/>
                <w:sz w:val="24"/>
                <w:szCs w:val="32"/>
              </w:rPr>
            </w:pPr>
            <w:r>
              <w:rPr>
                <w:rFonts w:hint="eastAsia" w:ascii="Times New Roman" w:hAnsi="Times New Roman" w:eastAsia="楷体_GB2312"/>
                <w:b/>
                <w:bCs/>
                <w:sz w:val="24"/>
                <w:szCs w:val="32"/>
              </w:rPr>
              <w:t>名称</w:t>
            </w:r>
          </w:p>
        </w:tc>
        <w:tc>
          <w:tcPr>
            <w:tcW w:w="289" w:type="pct"/>
            <w:vAlign w:val="center"/>
          </w:tcPr>
          <w:p w14:paraId="3E06EAEE">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时代</w:t>
            </w:r>
          </w:p>
        </w:tc>
        <w:tc>
          <w:tcPr>
            <w:tcW w:w="372" w:type="pct"/>
            <w:vAlign w:val="center"/>
          </w:tcPr>
          <w:p w14:paraId="2A6F8E65">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类别</w:t>
            </w:r>
          </w:p>
        </w:tc>
        <w:tc>
          <w:tcPr>
            <w:tcW w:w="628" w:type="pct"/>
            <w:vAlign w:val="center"/>
          </w:tcPr>
          <w:p w14:paraId="14B67BAE">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位置</w:t>
            </w:r>
          </w:p>
        </w:tc>
        <w:tc>
          <w:tcPr>
            <w:tcW w:w="2451" w:type="pct"/>
            <w:vAlign w:val="center"/>
          </w:tcPr>
          <w:p w14:paraId="37B38486">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保护范围及建控地带</w:t>
            </w:r>
          </w:p>
        </w:tc>
        <w:tc>
          <w:tcPr>
            <w:tcW w:w="559" w:type="pct"/>
            <w:vAlign w:val="center"/>
          </w:tcPr>
          <w:p w14:paraId="7CEFD900">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批复时间</w:t>
            </w:r>
          </w:p>
        </w:tc>
      </w:tr>
      <w:tr w14:paraId="7F6C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6DB6104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p>
        </w:tc>
        <w:tc>
          <w:tcPr>
            <w:tcW w:w="496" w:type="pct"/>
            <w:vAlign w:val="center"/>
          </w:tcPr>
          <w:p w14:paraId="7C9AA650">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塔云山寺</w:t>
            </w:r>
          </w:p>
        </w:tc>
        <w:tc>
          <w:tcPr>
            <w:tcW w:w="289" w:type="pct"/>
            <w:vAlign w:val="center"/>
          </w:tcPr>
          <w:p w14:paraId="53EB5275">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明</w:t>
            </w:r>
          </w:p>
        </w:tc>
        <w:tc>
          <w:tcPr>
            <w:tcW w:w="372" w:type="pct"/>
            <w:vAlign w:val="center"/>
          </w:tcPr>
          <w:p w14:paraId="05C7350A">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464A6EA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柴坪镇</w:t>
            </w:r>
          </w:p>
          <w:p w14:paraId="3083514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安坪村</w:t>
            </w:r>
          </w:p>
        </w:tc>
        <w:tc>
          <w:tcPr>
            <w:tcW w:w="2451" w:type="pct"/>
            <w:vAlign w:val="center"/>
          </w:tcPr>
          <w:p w14:paraId="38D230D7">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东至龙头山中垭，西至西翅山二道凸，南至吴宅房后，北至打儿窝下侧。面积1.17平方公里。</w:t>
            </w:r>
          </w:p>
          <w:p w14:paraId="72A88158">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东至龙头山三道凸，西至西翅山长槽圈眼洞，南至头道崖，北至曾家沟老扒畔。面积1.63平方公里。</w:t>
            </w:r>
          </w:p>
        </w:tc>
        <w:tc>
          <w:tcPr>
            <w:tcW w:w="559" w:type="pct"/>
            <w:vAlign w:val="center"/>
          </w:tcPr>
          <w:p w14:paraId="4576F39F">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第四批省保单位</w:t>
            </w:r>
          </w:p>
        </w:tc>
      </w:tr>
      <w:tr w14:paraId="47F9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1116137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2</w:t>
            </w:r>
          </w:p>
        </w:tc>
        <w:tc>
          <w:tcPr>
            <w:tcW w:w="496" w:type="pct"/>
            <w:vAlign w:val="center"/>
          </w:tcPr>
          <w:p w14:paraId="16F4DC40">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黑龙庙</w:t>
            </w:r>
          </w:p>
        </w:tc>
        <w:tc>
          <w:tcPr>
            <w:tcW w:w="289" w:type="pct"/>
            <w:vAlign w:val="center"/>
          </w:tcPr>
          <w:p w14:paraId="4AB242F0">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清</w:t>
            </w:r>
            <w:r>
              <w:rPr>
                <w:rFonts w:hint="eastAsia" w:ascii="Times New Roman" w:hAnsi="Times New Roman" w:eastAsia="楷体_GB2312"/>
                <w:bCs/>
                <w:sz w:val="24"/>
                <w:szCs w:val="32"/>
              </w:rPr>
              <w:t>-</w:t>
            </w:r>
            <w:r>
              <w:rPr>
                <w:rFonts w:ascii="Times New Roman" w:hAnsi="Times New Roman" w:eastAsia="楷体_GB2312"/>
                <w:bCs/>
                <w:sz w:val="24"/>
                <w:szCs w:val="32"/>
              </w:rPr>
              <w:t>民国</w:t>
            </w:r>
          </w:p>
        </w:tc>
        <w:tc>
          <w:tcPr>
            <w:tcW w:w="372" w:type="pct"/>
            <w:vAlign w:val="center"/>
          </w:tcPr>
          <w:p w14:paraId="33BEDA2A">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3BC44317">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西口回族镇</w:t>
            </w:r>
          </w:p>
          <w:p w14:paraId="734EAE48">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上河村</w:t>
            </w:r>
          </w:p>
        </w:tc>
        <w:tc>
          <w:tcPr>
            <w:tcW w:w="2451" w:type="pct"/>
            <w:vAlign w:val="center"/>
          </w:tcPr>
          <w:p w14:paraId="2C80F3B2">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东至龙洞河东岸山根，西至庙后50米，南至龙洞涌出口南岸山根，北至通向湖北关公路南边。</w:t>
            </w:r>
          </w:p>
          <w:p w14:paraId="6A11D119">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A区四边以外各延伸100米。</w:t>
            </w:r>
          </w:p>
        </w:tc>
        <w:tc>
          <w:tcPr>
            <w:tcW w:w="559" w:type="pct"/>
            <w:vAlign w:val="center"/>
          </w:tcPr>
          <w:p w14:paraId="488F995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第五批省保单位</w:t>
            </w:r>
          </w:p>
        </w:tc>
      </w:tr>
      <w:tr w14:paraId="450F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5CB510DA">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3</w:t>
            </w:r>
          </w:p>
        </w:tc>
        <w:tc>
          <w:tcPr>
            <w:tcW w:w="496" w:type="pct"/>
            <w:vAlign w:val="center"/>
          </w:tcPr>
          <w:p w14:paraId="29545DBA">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朝阳观</w:t>
            </w:r>
          </w:p>
        </w:tc>
        <w:tc>
          <w:tcPr>
            <w:tcW w:w="289" w:type="pct"/>
            <w:vAlign w:val="center"/>
          </w:tcPr>
          <w:p w14:paraId="249C7CF1">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清</w:t>
            </w:r>
          </w:p>
        </w:tc>
        <w:tc>
          <w:tcPr>
            <w:tcW w:w="372" w:type="pct"/>
            <w:vAlign w:val="center"/>
          </w:tcPr>
          <w:p w14:paraId="2271F14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0841444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木王镇</w:t>
            </w:r>
          </w:p>
          <w:p w14:paraId="4AE5F0D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月坪村</w:t>
            </w:r>
          </w:p>
        </w:tc>
        <w:tc>
          <w:tcPr>
            <w:tcW w:w="2451" w:type="pct"/>
            <w:vAlign w:val="center"/>
          </w:tcPr>
          <w:p w14:paraId="72559B7B">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南至吃水涝池以下200米，北至龙头山北最高点北沿以下200米，东至朝阳观东下200米，西至朝阳观西下200米。</w:t>
            </w:r>
          </w:p>
          <w:p w14:paraId="593AB80A">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东至猪尾巴骨，西至闫王槽上台子，南至龙头寨垭横崖线，北至尼姑坟垭。</w:t>
            </w:r>
          </w:p>
        </w:tc>
        <w:tc>
          <w:tcPr>
            <w:tcW w:w="559" w:type="pct"/>
            <w:vAlign w:val="center"/>
          </w:tcPr>
          <w:p w14:paraId="3CB3494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第五批省保单位</w:t>
            </w:r>
          </w:p>
        </w:tc>
      </w:tr>
      <w:tr w14:paraId="397F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0BCB431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4</w:t>
            </w:r>
          </w:p>
        </w:tc>
        <w:tc>
          <w:tcPr>
            <w:tcW w:w="496" w:type="pct"/>
            <w:vAlign w:val="center"/>
          </w:tcPr>
          <w:p w14:paraId="0FDA5B7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米粮寺</w:t>
            </w:r>
          </w:p>
        </w:tc>
        <w:tc>
          <w:tcPr>
            <w:tcW w:w="289" w:type="pct"/>
            <w:vAlign w:val="center"/>
          </w:tcPr>
          <w:p w14:paraId="46F2E8D3">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清</w:t>
            </w:r>
          </w:p>
        </w:tc>
        <w:tc>
          <w:tcPr>
            <w:tcW w:w="372" w:type="pct"/>
            <w:vAlign w:val="center"/>
          </w:tcPr>
          <w:p w14:paraId="6FDABA4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3528DE2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木王镇</w:t>
            </w:r>
          </w:p>
          <w:p w14:paraId="7BE060F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米粮寺村</w:t>
            </w:r>
          </w:p>
        </w:tc>
        <w:tc>
          <w:tcPr>
            <w:tcW w:w="2451" w:type="pct"/>
            <w:vAlign w:val="center"/>
          </w:tcPr>
          <w:p w14:paraId="69F44D1A">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以米粮寺烈士陵墓为中心，南至烈士陵墓南100米，北至地母庙后50米，东至米粮寺山根，西至公路东沿排水沟边。</w:t>
            </w:r>
          </w:p>
          <w:p w14:paraId="5C3EBDFA">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B、南至烈士墓南山根公路边，北至地母庙垭最低点，东至山根公路内沿，西至小仁河道东岸。</w:t>
            </w:r>
          </w:p>
        </w:tc>
        <w:tc>
          <w:tcPr>
            <w:tcW w:w="559" w:type="pct"/>
            <w:vAlign w:val="center"/>
          </w:tcPr>
          <w:p w14:paraId="6E0B105C">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第五批省保单位</w:t>
            </w:r>
          </w:p>
        </w:tc>
      </w:tr>
      <w:tr w14:paraId="03A0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6E32AC8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5</w:t>
            </w:r>
          </w:p>
        </w:tc>
        <w:tc>
          <w:tcPr>
            <w:tcW w:w="496" w:type="pct"/>
            <w:vAlign w:val="center"/>
          </w:tcPr>
          <w:p w14:paraId="2910F136">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倪氏民居</w:t>
            </w:r>
          </w:p>
        </w:tc>
        <w:tc>
          <w:tcPr>
            <w:tcW w:w="289" w:type="pct"/>
            <w:vAlign w:val="center"/>
          </w:tcPr>
          <w:p w14:paraId="0A02735F">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清</w:t>
            </w:r>
          </w:p>
        </w:tc>
        <w:tc>
          <w:tcPr>
            <w:tcW w:w="372" w:type="pct"/>
            <w:vAlign w:val="center"/>
          </w:tcPr>
          <w:p w14:paraId="1B10B35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6ABBFFE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铁厂镇</w:t>
            </w:r>
          </w:p>
          <w:p w14:paraId="4955BDE0">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新民村</w:t>
            </w:r>
          </w:p>
        </w:tc>
        <w:tc>
          <w:tcPr>
            <w:tcW w:w="2451" w:type="pct"/>
            <w:vAlign w:val="center"/>
          </w:tcPr>
          <w:p w14:paraId="79621C9A">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东至倪氏民居磨房外延10米，西至原厕所粪池，南至公路北沿，北至倪氏民居后檐口向北延伸20米。</w:t>
            </w:r>
          </w:p>
          <w:p w14:paraId="43F0452B">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A区向东外延50米，A区向西外延50米，南边至黄龙铺河北岸，A区向北延伸200米。</w:t>
            </w:r>
          </w:p>
        </w:tc>
        <w:tc>
          <w:tcPr>
            <w:tcW w:w="559" w:type="pct"/>
            <w:vAlign w:val="center"/>
          </w:tcPr>
          <w:p w14:paraId="739A5AF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第五批省保单位</w:t>
            </w:r>
          </w:p>
        </w:tc>
      </w:tr>
      <w:tr w14:paraId="5EF4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3CD3FDDC">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6</w:t>
            </w:r>
          </w:p>
        </w:tc>
        <w:tc>
          <w:tcPr>
            <w:tcW w:w="496" w:type="pct"/>
            <w:vAlign w:val="center"/>
          </w:tcPr>
          <w:p w14:paraId="2BBEB598">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刘氏民居</w:t>
            </w:r>
          </w:p>
        </w:tc>
        <w:tc>
          <w:tcPr>
            <w:tcW w:w="289" w:type="pct"/>
            <w:vAlign w:val="center"/>
          </w:tcPr>
          <w:p w14:paraId="4E49456F">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清</w:t>
            </w:r>
          </w:p>
        </w:tc>
        <w:tc>
          <w:tcPr>
            <w:tcW w:w="372" w:type="pct"/>
            <w:vAlign w:val="center"/>
          </w:tcPr>
          <w:p w14:paraId="6BF99C8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61F69B6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云盖寺镇</w:t>
            </w:r>
          </w:p>
          <w:p w14:paraId="4CB5308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黑窑沟村</w:t>
            </w:r>
          </w:p>
        </w:tc>
        <w:tc>
          <w:tcPr>
            <w:tcW w:w="2451" w:type="pct"/>
            <w:vAlign w:val="center"/>
          </w:tcPr>
          <w:p w14:paraId="5E12E6DB">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1）东院：东至刘氏民居后檐以东30米，西至刘氏民居道场坎外30米，南至刘氏民居以南30米，北至刘氏民居以北30米。（2）西院：东至公路西沿，西至山根50米处，南至刘声远住房南山墙外10米处，北至刘氏民居北边后头沟。</w:t>
            </w:r>
          </w:p>
          <w:p w14:paraId="162F5486">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东院A区以外四方外延100米，其余三方各外延100米。西院A区以外东至黑窑沟河西岸，其余三方各外延100米。</w:t>
            </w:r>
          </w:p>
        </w:tc>
        <w:tc>
          <w:tcPr>
            <w:tcW w:w="559" w:type="pct"/>
            <w:vAlign w:val="center"/>
          </w:tcPr>
          <w:p w14:paraId="30CA60E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第五批省保单位</w:t>
            </w:r>
          </w:p>
        </w:tc>
      </w:tr>
      <w:tr w14:paraId="0480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6AEC73F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7</w:t>
            </w:r>
          </w:p>
        </w:tc>
        <w:tc>
          <w:tcPr>
            <w:tcW w:w="496" w:type="pct"/>
            <w:vAlign w:val="center"/>
          </w:tcPr>
          <w:p w14:paraId="0C2AC08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云盖寺及云盖寺镇老街</w:t>
            </w:r>
          </w:p>
        </w:tc>
        <w:tc>
          <w:tcPr>
            <w:tcW w:w="289" w:type="pct"/>
            <w:vAlign w:val="center"/>
          </w:tcPr>
          <w:p w14:paraId="5F299CA4">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明</w:t>
            </w:r>
            <w:r>
              <w:rPr>
                <w:rFonts w:hint="eastAsia" w:ascii="Times New Roman" w:hAnsi="Times New Roman" w:eastAsia="楷体_GB2312"/>
                <w:bCs/>
                <w:sz w:val="24"/>
                <w:szCs w:val="32"/>
              </w:rPr>
              <w:t>-</w:t>
            </w:r>
            <w:r>
              <w:rPr>
                <w:rFonts w:ascii="Times New Roman" w:hAnsi="Times New Roman" w:eastAsia="楷体_GB2312"/>
                <w:bCs/>
                <w:sz w:val="24"/>
                <w:szCs w:val="32"/>
              </w:rPr>
              <w:t>清</w:t>
            </w:r>
          </w:p>
        </w:tc>
        <w:tc>
          <w:tcPr>
            <w:tcW w:w="372" w:type="pct"/>
            <w:vAlign w:val="center"/>
          </w:tcPr>
          <w:p w14:paraId="5A6B1AF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59F74CD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云盖寺镇</w:t>
            </w:r>
          </w:p>
          <w:p w14:paraId="7F4B3096">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云镇街</w:t>
            </w:r>
          </w:p>
        </w:tc>
        <w:tc>
          <w:tcPr>
            <w:tcW w:w="2451" w:type="pct"/>
            <w:vAlign w:val="center"/>
          </w:tcPr>
          <w:p w14:paraId="0293E6F4">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（1）东区：东至云盖寺镇后街，西至县河，南至云盖寺镇小学北边，北至云盖寺后半边街（东西段）。（2）西区：东至县河（与东区连片），西至观音殿以西200米，南至高庙沟，北至财神庙以北200米。</w:t>
            </w:r>
          </w:p>
          <w:p w14:paraId="7F0FC6E0">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（1）东区：东至云盖寺镇街东山根，西至高庙子保护区，南至云盖寺镇下街茨沟，北至过东川的公路桥。（2）西区：东至县河与东区连接，西南北三方在A区以外延伸200米。</w:t>
            </w:r>
          </w:p>
        </w:tc>
        <w:tc>
          <w:tcPr>
            <w:tcW w:w="559" w:type="pct"/>
            <w:vAlign w:val="center"/>
          </w:tcPr>
          <w:p w14:paraId="1B4D6DF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第五批省保单位</w:t>
            </w:r>
          </w:p>
        </w:tc>
      </w:tr>
      <w:tr w14:paraId="7177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591C1FF0">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8</w:t>
            </w:r>
          </w:p>
        </w:tc>
        <w:tc>
          <w:tcPr>
            <w:tcW w:w="496" w:type="pct"/>
            <w:vAlign w:val="center"/>
          </w:tcPr>
          <w:p w14:paraId="2702202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太阳山乾初洞摩崖题刻</w:t>
            </w:r>
          </w:p>
        </w:tc>
        <w:tc>
          <w:tcPr>
            <w:tcW w:w="289" w:type="pct"/>
            <w:vAlign w:val="center"/>
          </w:tcPr>
          <w:p w14:paraId="1798CD44">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宋</w:t>
            </w:r>
          </w:p>
        </w:tc>
        <w:tc>
          <w:tcPr>
            <w:tcW w:w="372" w:type="pct"/>
            <w:vAlign w:val="center"/>
          </w:tcPr>
          <w:p w14:paraId="5C0773A8">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石刻</w:t>
            </w:r>
          </w:p>
        </w:tc>
        <w:tc>
          <w:tcPr>
            <w:tcW w:w="628" w:type="pct"/>
            <w:vAlign w:val="center"/>
          </w:tcPr>
          <w:p w14:paraId="24ECD896">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云盖寺镇</w:t>
            </w:r>
          </w:p>
          <w:p w14:paraId="2D3DC33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岩湾村</w:t>
            </w:r>
          </w:p>
        </w:tc>
        <w:tc>
          <w:tcPr>
            <w:tcW w:w="2451" w:type="pct"/>
            <w:vAlign w:val="center"/>
          </w:tcPr>
          <w:p w14:paraId="3575FA54">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东侧延伸100米，西至公路东边，南至洞口以南50米，北至洞口以北50米。</w:t>
            </w:r>
          </w:p>
          <w:p w14:paraId="0A1145F4">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东从A区外延100米，西同A区，南、北各外延120米。</w:t>
            </w:r>
          </w:p>
        </w:tc>
        <w:tc>
          <w:tcPr>
            <w:tcW w:w="559" w:type="pct"/>
            <w:vAlign w:val="center"/>
          </w:tcPr>
          <w:p w14:paraId="53B56886">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第五批省保单位</w:t>
            </w:r>
          </w:p>
        </w:tc>
      </w:tr>
      <w:tr w14:paraId="7697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17AAA91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9</w:t>
            </w:r>
          </w:p>
        </w:tc>
        <w:tc>
          <w:tcPr>
            <w:tcW w:w="496" w:type="pct"/>
            <w:vAlign w:val="center"/>
          </w:tcPr>
          <w:p w14:paraId="092679B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百神洞黑龙庙</w:t>
            </w:r>
          </w:p>
        </w:tc>
        <w:tc>
          <w:tcPr>
            <w:tcW w:w="289" w:type="pct"/>
            <w:vAlign w:val="center"/>
          </w:tcPr>
          <w:p w14:paraId="2417C2C3">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唐</w:t>
            </w:r>
          </w:p>
        </w:tc>
        <w:tc>
          <w:tcPr>
            <w:tcW w:w="372" w:type="pct"/>
            <w:vAlign w:val="center"/>
          </w:tcPr>
          <w:p w14:paraId="3E977A8C">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5445202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庙沟镇蒿坪村桂花三组</w:t>
            </w:r>
          </w:p>
        </w:tc>
        <w:tc>
          <w:tcPr>
            <w:tcW w:w="2451" w:type="pct"/>
            <w:vAlign w:val="center"/>
          </w:tcPr>
          <w:p w14:paraId="7AF05DF2">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南至百神洞大殿向南延伸50米，北至石拱大门以北50米，西为山崖体，东为庙前石坎延向东100米。</w:t>
            </w:r>
          </w:p>
          <w:p w14:paraId="725119ED">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A区外延伸100米。</w:t>
            </w:r>
          </w:p>
        </w:tc>
        <w:tc>
          <w:tcPr>
            <w:tcW w:w="559" w:type="pct"/>
            <w:vAlign w:val="center"/>
          </w:tcPr>
          <w:p w14:paraId="2C5C939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第六批省保单位</w:t>
            </w:r>
          </w:p>
        </w:tc>
      </w:tr>
      <w:tr w14:paraId="3EF3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2C45338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0</w:t>
            </w:r>
          </w:p>
        </w:tc>
        <w:tc>
          <w:tcPr>
            <w:tcW w:w="496" w:type="pct"/>
            <w:vAlign w:val="center"/>
          </w:tcPr>
          <w:p w14:paraId="75D5FCB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茅坡寨</w:t>
            </w:r>
          </w:p>
        </w:tc>
        <w:tc>
          <w:tcPr>
            <w:tcW w:w="289" w:type="pct"/>
            <w:vAlign w:val="center"/>
          </w:tcPr>
          <w:p w14:paraId="2D4D9177">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清</w:t>
            </w:r>
          </w:p>
        </w:tc>
        <w:tc>
          <w:tcPr>
            <w:tcW w:w="372" w:type="pct"/>
            <w:vAlign w:val="center"/>
          </w:tcPr>
          <w:p w14:paraId="13D23BB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0349281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西口回族镇</w:t>
            </w:r>
          </w:p>
          <w:p w14:paraId="2893703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石门村</w:t>
            </w:r>
          </w:p>
        </w:tc>
        <w:tc>
          <w:tcPr>
            <w:tcW w:w="2451" w:type="pct"/>
            <w:vAlign w:val="center"/>
          </w:tcPr>
          <w:p w14:paraId="3B45C05C">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以寨墙根四周延伸50米。</w:t>
            </w:r>
          </w:p>
          <w:p w14:paraId="7DF15EFD">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在A区以外延伸100米。</w:t>
            </w:r>
          </w:p>
        </w:tc>
        <w:tc>
          <w:tcPr>
            <w:tcW w:w="559" w:type="pct"/>
            <w:vAlign w:val="center"/>
          </w:tcPr>
          <w:p w14:paraId="2FD5FA6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第六批省保单位</w:t>
            </w:r>
          </w:p>
        </w:tc>
      </w:tr>
      <w:tr w14:paraId="7E89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19AE883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1</w:t>
            </w:r>
          </w:p>
        </w:tc>
        <w:tc>
          <w:tcPr>
            <w:tcW w:w="496" w:type="pct"/>
            <w:vAlign w:val="center"/>
          </w:tcPr>
          <w:p w14:paraId="57ACC34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文家庙石拱桥</w:t>
            </w:r>
          </w:p>
        </w:tc>
        <w:tc>
          <w:tcPr>
            <w:tcW w:w="289" w:type="pct"/>
            <w:vAlign w:val="center"/>
          </w:tcPr>
          <w:p w14:paraId="19CB7892">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清</w:t>
            </w:r>
          </w:p>
        </w:tc>
        <w:tc>
          <w:tcPr>
            <w:tcW w:w="372" w:type="pct"/>
            <w:vAlign w:val="center"/>
          </w:tcPr>
          <w:p w14:paraId="2DDD385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1AC7C13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柴坪镇</w:t>
            </w:r>
          </w:p>
          <w:p w14:paraId="7C4B4F3C">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桃园村</w:t>
            </w:r>
          </w:p>
        </w:tc>
        <w:tc>
          <w:tcPr>
            <w:tcW w:w="2451" w:type="pct"/>
            <w:vAlign w:val="center"/>
          </w:tcPr>
          <w:p w14:paraId="702BBA36">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A区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石拱桥体四周50米以内。</w:t>
            </w:r>
          </w:p>
          <w:p w14:paraId="5893AEEA">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A区以外四周延伸100米。</w:t>
            </w:r>
          </w:p>
        </w:tc>
        <w:tc>
          <w:tcPr>
            <w:tcW w:w="559" w:type="pct"/>
            <w:vAlign w:val="center"/>
          </w:tcPr>
          <w:p w14:paraId="34AA263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第六批省保单位</w:t>
            </w:r>
          </w:p>
        </w:tc>
      </w:tr>
      <w:tr w14:paraId="1E06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0C5D546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2</w:t>
            </w:r>
          </w:p>
        </w:tc>
        <w:tc>
          <w:tcPr>
            <w:tcW w:w="496" w:type="pct"/>
            <w:vAlign w:val="center"/>
          </w:tcPr>
          <w:p w14:paraId="737AF68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杨家垭清真寺</w:t>
            </w:r>
          </w:p>
        </w:tc>
        <w:tc>
          <w:tcPr>
            <w:tcW w:w="289" w:type="pct"/>
            <w:vAlign w:val="center"/>
          </w:tcPr>
          <w:p w14:paraId="4F4FE14C">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清</w:t>
            </w:r>
          </w:p>
        </w:tc>
        <w:tc>
          <w:tcPr>
            <w:tcW w:w="372" w:type="pct"/>
            <w:vAlign w:val="center"/>
          </w:tcPr>
          <w:p w14:paraId="4682F50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古建筑</w:t>
            </w:r>
          </w:p>
        </w:tc>
        <w:tc>
          <w:tcPr>
            <w:tcW w:w="628" w:type="pct"/>
            <w:vAlign w:val="center"/>
          </w:tcPr>
          <w:p w14:paraId="28FFE8C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西口回族镇</w:t>
            </w:r>
          </w:p>
          <w:p w14:paraId="7C91500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青树村一组</w:t>
            </w:r>
          </w:p>
        </w:tc>
        <w:tc>
          <w:tcPr>
            <w:tcW w:w="2451" w:type="pct"/>
            <w:vAlign w:val="center"/>
          </w:tcPr>
          <w:p w14:paraId="6DB8693F">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A区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东至檐下30米，南至门楼檐下以南50米，西至大殿以西50米，北至后厢房檐下30米。</w:t>
            </w:r>
          </w:p>
          <w:p w14:paraId="56AA7904">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在A区以外东至杨家沟沿，南、北、西各延伸100米。</w:t>
            </w:r>
          </w:p>
        </w:tc>
        <w:tc>
          <w:tcPr>
            <w:tcW w:w="559" w:type="pct"/>
            <w:vAlign w:val="center"/>
          </w:tcPr>
          <w:p w14:paraId="64F17447">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第六批省保单位</w:t>
            </w:r>
          </w:p>
        </w:tc>
      </w:tr>
      <w:tr w14:paraId="564D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0455FD4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3</w:t>
            </w:r>
          </w:p>
        </w:tc>
        <w:tc>
          <w:tcPr>
            <w:tcW w:w="496" w:type="pct"/>
            <w:vAlign w:val="center"/>
          </w:tcPr>
          <w:p w14:paraId="71E1FD8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五星村崖居岩画</w:t>
            </w:r>
          </w:p>
        </w:tc>
        <w:tc>
          <w:tcPr>
            <w:tcW w:w="289" w:type="pct"/>
            <w:vAlign w:val="center"/>
          </w:tcPr>
          <w:p w14:paraId="05C73BF9">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元</w:t>
            </w:r>
            <w:r>
              <w:rPr>
                <w:rFonts w:hint="eastAsia" w:ascii="Times New Roman" w:hAnsi="Times New Roman" w:eastAsia="楷体_GB2312"/>
                <w:bCs/>
                <w:sz w:val="24"/>
                <w:szCs w:val="32"/>
              </w:rPr>
              <w:t>-明</w:t>
            </w:r>
          </w:p>
        </w:tc>
        <w:tc>
          <w:tcPr>
            <w:tcW w:w="372" w:type="pct"/>
            <w:vAlign w:val="center"/>
          </w:tcPr>
          <w:p w14:paraId="4754678B">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其他</w:t>
            </w:r>
          </w:p>
        </w:tc>
        <w:tc>
          <w:tcPr>
            <w:tcW w:w="628" w:type="pct"/>
            <w:vAlign w:val="center"/>
          </w:tcPr>
          <w:p w14:paraId="0C152028">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茅坪回族镇</w:t>
            </w:r>
          </w:p>
          <w:p w14:paraId="217F5E26">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五星村一组</w:t>
            </w:r>
          </w:p>
        </w:tc>
        <w:tc>
          <w:tcPr>
            <w:tcW w:w="2451" w:type="pct"/>
            <w:vAlign w:val="center"/>
          </w:tcPr>
          <w:p w14:paraId="2E4B9373">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东至崖边，南至崖底，西至山沟，北至崖顶。</w:t>
            </w:r>
          </w:p>
          <w:p w14:paraId="24646CBC">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东边在A区向东延伸至崖梁，南边A区向南延伸至茅坪河，西边A区向西延伸30米。</w:t>
            </w:r>
          </w:p>
        </w:tc>
        <w:tc>
          <w:tcPr>
            <w:tcW w:w="559" w:type="pct"/>
            <w:vAlign w:val="center"/>
          </w:tcPr>
          <w:p w14:paraId="3BAC267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第六批省保单位</w:t>
            </w:r>
          </w:p>
        </w:tc>
      </w:tr>
      <w:tr w14:paraId="7D45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5" w:type="pct"/>
            <w:vAlign w:val="center"/>
          </w:tcPr>
          <w:p w14:paraId="7086AFB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4</w:t>
            </w:r>
          </w:p>
        </w:tc>
        <w:tc>
          <w:tcPr>
            <w:tcW w:w="496" w:type="pct"/>
            <w:vAlign w:val="center"/>
          </w:tcPr>
          <w:p w14:paraId="7A0F4376">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白塔寨遗址</w:t>
            </w:r>
          </w:p>
        </w:tc>
        <w:tc>
          <w:tcPr>
            <w:tcW w:w="289" w:type="pct"/>
            <w:vAlign w:val="center"/>
          </w:tcPr>
          <w:p w14:paraId="369BF330">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清</w:t>
            </w:r>
          </w:p>
        </w:tc>
        <w:tc>
          <w:tcPr>
            <w:tcW w:w="372" w:type="pct"/>
            <w:vAlign w:val="center"/>
          </w:tcPr>
          <w:p w14:paraId="17CD52E1">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古遗址</w:t>
            </w:r>
          </w:p>
        </w:tc>
        <w:tc>
          <w:tcPr>
            <w:tcW w:w="628" w:type="pct"/>
            <w:vAlign w:val="center"/>
          </w:tcPr>
          <w:p w14:paraId="3AF13E6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米粮镇</w:t>
            </w:r>
          </w:p>
          <w:p w14:paraId="53F4E0BF">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树坪村</w:t>
            </w:r>
          </w:p>
        </w:tc>
        <w:tc>
          <w:tcPr>
            <w:tcW w:w="2451" w:type="pct"/>
            <w:vAlign w:val="center"/>
          </w:tcPr>
          <w:p w14:paraId="745ED09B">
            <w:pPr>
              <w:adjustRightInd w:val="0"/>
              <w:snapToGrid w:val="0"/>
              <w:spacing w:line="360" w:lineRule="exact"/>
              <w:rPr>
                <w:rFonts w:ascii="Times New Roman" w:hAnsi="Times New Roman" w:eastAsia="楷体_GB2312"/>
                <w:bCs/>
                <w:sz w:val="24"/>
                <w:szCs w:val="32"/>
              </w:rPr>
            </w:pPr>
            <w:r>
              <w:rPr>
                <w:rFonts w:hint="eastAsia" w:ascii="Times New Roman" w:hAnsi="Times New Roman" w:eastAsia="楷体_GB2312"/>
                <w:b/>
                <w:bCs/>
                <w:sz w:val="24"/>
                <w:szCs w:val="32"/>
              </w:rPr>
              <w:t>A区：</w:t>
            </w:r>
            <w:r>
              <w:rPr>
                <w:rFonts w:hint="eastAsia" w:ascii="Times New Roman" w:hAnsi="Times New Roman" w:eastAsia="楷体_GB2312"/>
                <w:bCs/>
                <w:sz w:val="24"/>
                <w:szCs w:val="32"/>
              </w:rPr>
              <w:t>南、北瓮城寨墙及东、西寨墙各外延30米。</w:t>
            </w:r>
          </w:p>
          <w:p w14:paraId="7475C69D">
            <w:pPr>
              <w:adjustRightInd w:val="0"/>
              <w:snapToGrid w:val="0"/>
              <w:spacing w:line="360" w:lineRule="exact"/>
              <w:rPr>
                <w:rFonts w:ascii="Times New Roman" w:hAnsi="Times New Roman" w:eastAsia="楷体_GB2312"/>
                <w:bCs/>
                <w:sz w:val="24"/>
                <w:szCs w:val="32"/>
              </w:rPr>
            </w:pPr>
            <w:r>
              <w:rPr>
                <w:rFonts w:ascii="Times New Roman" w:hAnsi="Times New Roman" w:eastAsia="楷体_GB2312"/>
                <w:b/>
                <w:bCs/>
                <w:sz w:val="24"/>
                <w:szCs w:val="32"/>
              </w:rPr>
              <w:t>B区</w:t>
            </w:r>
            <w:r>
              <w:rPr>
                <w:rFonts w:hint="eastAsia" w:ascii="Times New Roman" w:hAnsi="Times New Roman" w:eastAsia="楷体_GB2312"/>
                <w:b/>
                <w:bCs/>
                <w:sz w:val="24"/>
                <w:szCs w:val="32"/>
              </w:rPr>
              <w:t>：</w:t>
            </w:r>
            <w:r>
              <w:rPr>
                <w:rFonts w:hint="eastAsia" w:ascii="Times New Roman" w:hAnsi="Times New Roman" w:eastAsia="楷体_GB2312"/>
                <w:bCs/>
                <w:sz w:val="24"/>
                <w:szCs w:val="32"/>
              </w:rPr>
              <w:t>A区四周外延50米。</w:t>
            </w:r>
          </w:p>
        </w:tc>
        <w:tc>
          <w:tcPr>
            <w:tcW w:w="559" w:type="pct"/>
            <w:vAlign w:val="center"/>
          </w:tcPr>
          <w:p w14:paraId="65515C0F">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第七批省保单位</w:t>
            </w:r>
          </w:p>
        </w:tc>
      </w:tr>
      <w:tr w14:paraId="0BC0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 w:type="pct"/>
            <w:gridSpan w:val="7"/>
            <w:vAlign w:val="center"/>
          </w:tcPr>
          <w:p w14:paraId="73728760">
            <w:pPr>
              <w:adjustRightInd w:val="0"/>
              <w:snapToGrid w:val="0"/>
              <w:spacing w:line="360" w:lineRule="exact"/>
              <w:rPr>
                <w:rFonts w:ascii="Times New Roman" w:hAnsi="Times New Roman" w:eastAsia="楷体_GB2312"/>
                <w:b/>
                <w:bCs/>
                <w:sz w:val="24"/>
                <w:szCs w:val="32"/>
              </w:rPr>
            </w:pPr>
            <w:r>
              <w:rPr>
                <w:rFonts w:ascii="Times New Roman" w:hAnsi="Times New Roman" w:eastAsia="楷体_GB2312"/>
                <w:b/>
                <w:bCs/>
                <w:sz w:val="24"/>
                <w:szCs w:val="32"/>
              </w:rPr>
              <w:t>注</w:t>
            </w:r>
            <w:r>
              <w:rPr>
                <w:rFonts w:hint="eastAsia" w:ascii="Times New Roman" w:hAnsi="Times New Roman" w:eastAsia="楷体_GB2312"/>
                <w:b/>
                <w:bCs/>
                <w:sz w:val="24"/>
                <w:szCs w:val="32"/>
              </w:rPr>
              <w:t>：</w:t>
            </w:r>
            <w:r>
              <w:rPr>
                <w:rFonts w:ascii="Times New Roman" w:hAnsi="Times New Roman" w:eastAsia="楷体_GB2312"/>
                <w:b/>
                <w:bCs/>
                <w:sz w:val="24"/>
                <w:szCs w:val="32"/>
              </w:rPr>
              <w:t>A区为保护区</w:t>
            </w:r>
            <w:r>
              <w:rPr>
                <w:rFonts w:hint="eastAsia" w:ascii="Times New Roman" w:hAnsi="Times New Roman" w:eastAsia="楷体_GB2312"/>
                <w:b/>
                <w:bCs/>
                <w:sz w:val="24"/>
                <w:szCs w:val="32"/>
              </w:rPr>
              <w:t>，</w:t>
            </w:r>
            <w:r>
              <w:rPr>
                <w:rFonts w:ascii="Times New Roman" w:hAnsi="Times New Roman" w:eastAsia="楷体_GB2312"/>
                <w:b/>
                <w:bCs/>
                <w:sz w:val="24"/>
                <w:szCs w:val="32"/>
              </w:rPr>
              <w:t>B区为建设控制地带</w:t>
            </w:r>
          </w:p>
        </w:tc>
      </w:tr>
    </w:tbl>
    <w:p w14:paraId="527E78C2">
      <w:pPr>
        <w:pStyle w:val="38"/>
        <w:jc w:val="both"/>
        <w:rPr>
          <w:shd w:val="clear" w:color="auto" w:fill="auto"/>
        </w:rPr>
      </w:pPr>
    </w:p>
    <w:p w14:paraId="64F15328">
      <w:pPr>
        <w:pStyle w:val="22"/>
        <w:ind w:firstLine="640"/>
        <w:rPr>
          <w:shd w:val="clear" w:color="auto" w:fill="auto"/>
        </w:rPr>
        <w:sectPr>
          <w:pgSz w:w="16838" w:h="11906" w:orient="landscape"/>
          <w:pgMar w:top="1531" w:right="1531" w:bottom="1531" w:left="1418" w:header="851" w:footer="992" w:gutter="0"/>
          <w:pgNumType w:fmt="numberInDash"/>
          <w:cols w:space="425" w:num="1"/>
          <w:docGrid w:type="lines" w:linePitch="312" w:charSpace="0"/>
        </w:sectPr>
      </w:pPr>
    </w:p>
    <w:p w14:paraId="55EDCF85">
      <w:pPr>
        <w:pStyle w:val="26"/>
        <w:spacing w:before="312" w:after="312"/>
        <w:rPr>
          <w:shd w:val="clear" w:color="auto" w:fill="auto"/>
        </w:rPr>
      </w:pPr>
      <w:bookmarkStart w:id="13" w:name="_Toc59298931"/>
      <w:r>
        <w:rPr>
          <w:rFonts w:hint="eastAsia"/>
          <w:shd w:val="clear" w:color="auto" w:fill="auto"/>
        </w:rPr>
        <w:t xml:space="preserve">第四章 </w:t>
      </w:r>
      <w:r>
        <w:rPr>
          <w:shd w:val="clear" w:color="auto" w:fill="auto"/>
        </w:rPr>
        <w:t xml:space="preserve"> </w:t>
      </w:r>
      <w:r>
        <w:rPr>
          <w:rFonts w:hint="eastAsia"/>
          <w:shd w:val="clear" w:color="auto" w:fill="auto"/>
        </w:rPr>
        <w:t>完成保护</w:t>
      </w:r>
      <w:r>
        <w:rPr>
          <w:shd w:val="clear" w:color="auto" w:fill="auto"/>
        </w:rPr>
        <w:t>分区</w:t>
      </w:r>
      <w:r>
        <w:rPr>
          <w:rFonts w:hint="eastAsia"/>
          <w:shd w:val="clear" w:color="auto" w:fill="auto"/>
        </w:rPr>
        <w:t>划定，加强空间用途管控</w:t>
      </w:r>
      <w:bookmarkEnd w:id="13"/>
    </w:p>
    <w:p w14:paraId="1F3EF23E">
      <w:pPr>
        <w:pStyle w:val="22"/>
        <w:ind w:firstLine="640"/>
        <w:rPr>
          <w:shd w:val="clear" w:color="auto" w:fill="auto"/>
        </w:rPr>
      </w:pPr>
      <w:r>
        <w:rPr>
          <w:rFonts w:hint="eastAsia"/>
          <w:shd w:val="clear" w:color="auto" w:fill="auto"/>
        </w:rPr>
        <w:t>根据《条例》要求，按照海拔高度、主梁支脉、自然保护地分布等要素，划定核心保护区、重点保护区和一般保护区，完善国土空间规划，并与保护区有效衔接，实行分区保护，形成以海拔为基准、“海拔＋区块”为特征的分区保护体系。</w:t>
      </w:r>
    </w:p>
    <w:p w14:paraId="4CDFEE98">
      <w:pPr>
        <w:pStyle w:val="32"/>
        <w:spacing w:before="156" w:after="156"/>
        <w:ind w:firstLine="640"/>
        <w:rPr>
          <w:shd w:val="clear" w:color="auto" w:fill="auto"/>
        </w:rPr>
      </w:pPr>
      <w:bookmarkStart w:id="14" w:name="_Toc59298932"/>
      <w:r>
        <w:rPr>
          <w:rFonts w:hint="eastAsia"/>
          <w:shd w:val="clear" w:color="auto" w:fill="auto"/>
        </w:rPr>
        <w:t>一、严格管控核心保护区</w:t>
      </w:r>
      <w:bookmarkEnd w:id="14"/>
    </w:p>
    <w:p w14:paraId="45D10E4B">
      <w:pPr>
        <w:pStyle w:val="29"/>
        <w:spacing w:before="156" w:after="156"/>
        <w:ind w:firstLine="643"/>
        <w:rPr>
          <w:shd w:val="clear" w:color="auto" w:fill="auto"/>
        </w:rPr>
      </w:pPr>
      <w:r>
        <w:rPr>
          <w:rFonts w:hint="eastAsia"/>
          <w:shd w:val="clear" w:color="auto" w:fill="auto"/>
        </w:rPr>
        <w:t>（一）明确区域范围</w:t>
      </w:r>
    </w:p>
    <w:p w14:paraId="001E1B42">
      <w:pPr>
        <w:pStyle w:val="22"/>
        <w:ind w:firstLine="640"/>
        <w:rPr>
          <w:shd w:val="clear" w:color="auto" w:fill="auto"/>
        </w:rPr>
      </w:pPr>
      <w:r>
        <w:rPr>
          <w:rFonts w:hint="eastAsia"/>
          <w:shd w:val="clear" w:color="auto" w:fill="auto"/>
        </w:rPr>
        <w:t>按照《条例》要求，除国土空间规划确定的城镇开发边界范围外，将海拔2000米以上区域，</w:t>
      </w:r>
      <w:r>
        <w:rPr>
          <w:shd w:val="clear" w:color="auto" w:fill="auto"/>
        </w:rPr>
        <w:t>旬乾支脉</w:t>
      </w:r>
      <w:r>
        <w:rPr>
          <w:rFonts w:hint="eastAsia"/>
          <w:shd w:val="clear" w:color="auto" w:fill="auto"/>
        </w:rPr>
        <w:t>、</w:t>
      </w:r>
      <w:r>
        <w:rPr>
          <w:shd w:val="clear" w:color="auto" w:fill="auto"/>
        </w:rPr>
        <w:t>旬月支脉两侧各</w:t>
      </w:r>
      <w:r>
        <w:rPr>
          <w:rFonts w:hint="eastAsia"/>
          <w:shd w:val="clear" w:color="auto" w:fill="auto"/>
        </w:rPr>
        <w:t>5</w:t>
      </w:r>
      <w:r>
        <w:rPr>
          <w:shd w:val="clear" w:color="auto" w:fill="auto"/>
        </w:rPr>
        <w:t>00米以内的区域</w:t>
      </w:r>
      <w:r>
        <w:rPr>
          <w:rFonts w:hint="eastAsia"/>
          <w:shd w:val="clear" w:color="auto" w:fill="auto"/>
        </w:rPr>
        <w:t>（按投影范围计算），陕西鹰嘴石省级自然保护区的核心保护区，镇安城区集中式饮用水水源地一级保护区划入镇安秦岭核心保护区。该区域涉及木王镇、云盖寺镇、月河镇、回龙镇4个镇，11个村，面积约93.862平方公里，占全县秦岭生态环境保护范围总面积的2.69%</w:t>
      </w:r>
      <w:r>
        <w:rPr>
          <w:rStyle w:val="20"/>
          <w:shd w:val="clear" w:color="auto" w:fill="auto"/>
        </w:rPr>
        <w:footnoteReference w:id="0"/>
      </w:r>
      <w:r>
        <w:rPr>
          <w:rFonts w:hint="eastAsia"/>
          <w:shd w:val="clear" w:color="auto" w:fill="auto"/>
        </w:rPr>
        <w:t>。</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694"/>
        <w:gridCol w:w="5011"/>
      </w:tblGrid>
      <w:tr w14:paraId="2CD4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8834" w:type="dxa"/>
            <w:gridSpan w:val="3"/>
            <w:vAlign w:val="center"/>
          </w:tcPr>
          <w:p w14:paraId="40B9A3F8">
            <w:pPr>
              <w:pStyle w:val="36"/>
            </w:pPr>
            <w:r>
              <w:t>专栏</w:t>
            </w:r>
            <w:r>
              <w:rPr>
                <w:rFonts w:hint="eastAsia"/>
              </w:rPr>
              <w:t xml:space="preserve"> </w:t>
            </w:r>
            <w:r>
              <w:t>5 镇安县秦岭核心保护区涉及的镇</w:t>
            </w:r>
            <w:r>
              <w:rPr>
                <w:rFonts w:hint="eastAsia"/>
              </w:rPr>
              <w:t>、</w:t>
            </w:r>
            <w:r>
              <w:t>村</w:t>
            </w:r>
          </w:p>
        </w:tc>
      </w:tr>
      <w:tr w14:paraId="1F07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1129" w:type="dxa"/>
            <w:vAlign w:val="center"/>
          </w:tcPr>
          <w:p w14:paraId="64CBD5A8">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序号</w:t>
            </w:r>
          </w:p>
        </w:tc>
        <w:tc>
          <w:tcPr>
            <w:tcW w:w="2694" w:type="dxa"/>
            <w:vAlign w:val="center"/>
          </w:tcPr>
          <w:p w14:paraId="7AD08C82">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镇</w:t>
            </w:r>
          </w:p>
        </w:tc>
        <w:tc>
          <w:tcPr>
            <w:tcW w:w="5011" w:type="dxa"/>
            <w:vAlign w:val="center"/>
          </w:tcPr>
          <w:p w14:paraId="2DAB4872">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村</w:t>
            </w:r>
          </w:p>
        </w:tc>
      </w:tr>
      <w:tr w14:paraId="4AB4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14:paraId="6AFA8DFA">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p>
        </w:tc>
        <w:tc>
          <w:tcPr>
            <w:tcW w:w="2694" w:type="dxa"/>
            <w:vAlign w:val="center"/>
          </w:tcPr>
          <w:p w14:paraId="2925A216">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木王镇</w:t>
            </w:r>
          </w:p>
        </w:tc>
        <w:tc>
          <w:tcPr>
            <w:tcW w:w="5011" w:type="dxa"/>
            <w:vAlign w:val="center"/>
          </w:tcPr>
          <w:p w14:paraId="23C7FFFC">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桂林村、长坪村、坪胜村、栗扎坪村</w:t>
            </w:r>
            <w:bookmarkStart w:id="71" w:name="_GoBack"/>
            <w:bookmarkEnd w:id="71"/>
          </w:p>
        </w:tc>
      </w:tr>
      <w:tr w14:paraId="65FC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14:paraId="7B347FE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2</w:t>
            </w:r>
          </w:p>
        </w:tc>
        <w:tc>
          <w:tcPr>
            <w:tcW w:w="2694" w:type="dxa"/>
            <w:vAlign w:val="center"/>
          </w:tcPr>
          <w:p w14:paraId="281B432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云盖寺镇</w:t>
            </w:r>
          </w:p>
        </w:tc>
        <w:tc>
          <w:tcPr>
            <w:tcW w:w="5011" w:type="dxa"/>
            <w:vAlign w:val="center"/>
          </w:tcPr>
          <w:p w14:paraId="38EC8D7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黑窑沟村、西华村、东洞村</w:t>
            </w:r>
          </w:p>
        </w:tc>
      </w:tr>
      <w:tr w14:paraId="0A17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14:paraId="2297682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3</w:t>
            </w:r>
          </w:p>
        </w:tc>
        <w:tc>
          <w:tcPr>
            <w:tcW w:w="2694" w:type="dxa"/>
            <w:vAlign w:val="center"/>
          </w:tcPr>
          <w:p w14:paraId="2582DF2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月河镇</w:t>
            </w:r>
          </w:p>
        </w:tc>
        <w:tc>
          <w:tcPr>
            <w:tcW w:w="5011" w:type="dxa"/>
            <w:vAlign w:val="center"/>
          </w:tcPr>
          <w:p w14:paraId="28B6DBB7">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24"/>
              </w:rPr>
              <w:t>八盘村、菩萨殿村</w:t>
            </w:r>
          </w:p>
        </w:tc>
      </w:tr>
      <w:tr w14:paraId="5B4A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29" w:type="dxa"/>
            <w:vAlign w:val="center"/>
          </w:tcPr>
          <w:p w14:paraId="4F8A9A8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4</w:t>
            </w:r>
          </w:p>
        </w:tc>
        <w:tc>
          <w:tcPr>
            <w:tcW w:w="2694" w:type="dxa"/>
            <w:vAlign w:val="center"/>
          </w:tcPr>
          <w:p w14:paraId="1356C89F">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回龙镇</w:t>
            </w:r>
          </w:p>
        </w:tc>
        <w:tc>
          <w:tcPr>
            <w:tcW w:w="5011" w:type="dxa"/>
            <w:vAlign w:val="center"/>
          </w:tcPr>
          <w:p w14:paraId="035B293F">
            <w:pPr>
              <w:adjustRightInd w:val="0"/>
              <w:snapToGrid w:val="0"/>
              <w:spacing w:line="360" w:lineRule="exact"/>
              <w:jc w:val="center"/>
              <w:rPr>
                <w:rFonts w:ascii="Times New Roman" w:hAnsi="Times New Roman" w:eastAsia="楷体_GB2312"/>
                <w:bCs/>
                <w:sz w:val="24"/>
                <w:szCs w:val="32"/>
              </w:rPr>
            </w:pPr>
            <w:r>
              <w:rPr>
                <w:rFonts w:ascii="Times New Roman" w:hAnsi="Times New Roman" w:eastAsia="楷体_GB2312"/>
                <w:bCs/>
                <w:sz w:val="24"/>
                <w:szCs w:val="32"/>
              </w:rPr>
              <w:t>宏丰村</w:t>
            </w:r>
            <w:r>
              <w:rPr>
                <w:rFonts w:hint="eastAsia" w:ascii="Times New Roman" w:hAnsi="Times New Roman" w:eastAsia="楷体_GB2312"/>
                <w:bCs/>
                <w:sz w:val="24"/>
                <w:szCs w:val="32"/>
              </w:rPr>
              <w:t>、</w:t>
            </w:r>
            <w:r>
              <w:rPr>
                <w:rFonts w:ascii="Times New Roman" w:hAnsi="Times New Roman" w:eastAsia="楷体_GB2312"/>
                <w:bCs/>
                <w:sz w:val="24"/>
                <w:szCs w:val="32"/>
              </w:rPr>
              <w:t>双龙村</w:t>
            </w:r>
          </w:p>
        </w:tc>
      </w:tr>
      <w:tr w14:paraId="674A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34" w:type="dxa"/>
            <w:gridSpan w:val="3"/>
            <w:vAlign w:val="center"/>
          </w:tcPr>
          <w:p w14:paraId="43CE9584">
            <w:pPr>
              <w:adjustRightInd w:val="0"/>
              <w:snapToGrid w:val="0"/>
              <w:spacing w:line="360" w:lineRule="exact"/>
              <w:rPr>
                <w:rFonts w:ascii="Times New Roman" w:hAnsi="Times New Roman" w:eastAsia="楷体_GB2312"/>
                <w:b/>
                <w:bCs/>
                <w:sz w:val="24"/>
                <w:szCs w:val="32"/>
              </w:rPr>
            </w:pPr>
            <w:r>
              <w:rPr>
                <w:rFonts w:ascii="Times New Roman" w:hAnsi="Times New Roman" w:eastAsia="楷体_GB2312"/>
                <w:b/>
                <w:bCs/>
                <w:sz w:val="24"/>
                <w:szCs w:val="32"/>
              </w:rPr>
              <w:t>注</w:t>
            </w:r>
            <w:r>
              <w:rPr>
                <w:rFonts w:hint="eastAsia" w:ascii="Times New Roman" w:hAnsi="Times New Roman" w:eastAsia="楷体_GB2312"/>
                <w:b/>
                <w:bCs/>
                <w:sz w:val="24"/>
                <w:szCs w:val="32"/>
              </w:rPr>
              <w:t>：以上村庄只是部分面积纳入秦岭核心保护区，待自然保护地整合优化数据和国土三调数据批复后，开展勘界定标工作，进一步核实、明确村庄纳入面积。</w:t>
            </w:r>
          </w:p>
        </w:tc>
      </w:tr>
    </w:tbl>
    <w:p w14:paraId="0A2CCB29">
      <w:pPr>
        <w:pStyle w:val="29"/>
        <w:spacing w:before="156" w:after="156"/>
        <w:ind w:firstLine="643"/>
        <w:rPr>
          <w:shd w:val="clear" w:color="auto" w:fill="auto"/>
        </w:rPr>
      </w:pPr>
      <w:r>
        <w:rPr>
          <w:rFonts w:hint="eastAsia"/>
          <w:shd w:val="clear" w:color="auto" w:fill="auto"/>
        </w:rPr>
        <w:t>（二）加强区域管控</w:t>
      </w:r>
    </w:p>
    <w:p w14:paraId="737AA501">
      <w:pPr>
        <w:pStyle w:val="22"/>
        <w:ind w:firstLine="640"/>
        <w:rPr>
          <w:shd w:val="clear" w:color="auto" w:fill="auto"/>
        </w:rPr>
      </w:pPr>
      <w:r>
        <w:rPr>
          <w:rFonts w:hint="eastAsia"/>
          <w:shd w:val="clear" w:color="auto" w:fill="auto"/>
        </w:rPr>
        <w:t>核心保护区山高谷深、水源富集，人类活动微弱。天然植被基本处于原始状态，生态环境良好，生态系统比较单一，抗干扰能力差，具有较高的科学研究和自然生态价值，对于保持秦岭生态环境的系统性、整体性、原真性至关重要。除《陕西省秦岭生态环境保护条例》另有规定外，核心保护区不得进行与生态保护、科学研究无关的活动。在核心保护区实施能源、交通、水利、国防等重大基础设施建设和战略性矿产资源勘查项目，应当依法进行环境影响评价，报省人民政府审定。法律、行政法规对核心保护区管理有相关规定的，依照相关规定执行。</w:t>
      </w:r>
    </w:p>
    <w:p w14:paraId="5188E119">
      <w:pPr>
        <w:pStyle w:val="29"/>
        <w:spacing w:before="156" w:after="156"/>
        <w:ind w:firstLine="643"/>
        <w:rPr>
          <w:shd w:val="clear" w:color="auto" w:fill="auto"/>
        </w:rPr>
      </w:pPr>
      <w:r>
        <w:rPr>
          <w:rFonts w:hint="eastAsia"/>
          <w:shd w:val="clear" w:color="auto" w:fill="auto"/>
        </w:rPr>
        <w:t>（三）实施重点任务</w:t>
      </w:r>
    </w:p>
    <w:p w14:paraId="3E378122">
      <w:pPr>
        <w:pStyle w:val="22"/>
        <w:ind w:firstLine="640"/>
      </w:pPr>
      <w:r>
        <w:rPr>
          <w:rFonts w:hint="eastAsia"/>
        </w:rPr>
        <w:t>推进水源涵养和生物多样性保护，保持野生动植物物种和种群平衡，增强森林防火和林业有害生物防治预警能力，减少地质灾害的发生。引导居民逐步有序迁出，逐渐实现污染物“零排放”。依法组织现有不符合管理要求的建设项目限期退出。</w:t>
      </w:r>
    </w:p>
    <w:p w14:paraId="4E58838B">
      <w:pPr>
        <w:pStyle w:val="22"/>
        <w:ind w:firstLine="643"/>
        <w:rPr>
          <w:b/>
          <w:shd w:val="clear" w:color="auto" w:fill="auto"/>
        </w:rPr>
      </w:pPr>
      <w:r>
        <w:rPr>
          <w:rFonts w:hint="eastAsia"/>
          <w:b/>
          <w:shd w:val="clear" w:color="auto" w:fill="auto"/>
        </w:rPr>
        <w:t>牵头单位：县发改局；配合单位：县资源局、县林业局、县水利局、县环境局、相关镇办</w:t>
      </w:r>
    </w:p>
    <w:p w14:paraId="33C6D191">
      <w:pPr>
        <w:pStyle w:val="32"/>
        <w:spacing w:before="156" w:after="156"/>
        <w:ind w:firstLine="640"/>
        <w:rPr>
          <w:shd w:val="clear" w:color="auto" w:fill="auto"/>
        </w:rPr>
      </w:pPr>
      <w:bookmarkStart w:id="15" w:name="_Toc59298933"/>
      <w:r>
        <w:rPr>
          <w:shd w:val="clear" w:color="auto" w:fill="auto"/>
        </w:rPr>
        <w:t>二</w:t>
      </w:r>
      <w:r>
        <w:rPr>
          <w:rFonts w:hint="eastAsia"/>
          <w:shd w:val="clear" w:color="auto" w:fill="auto"/>
        </w:rPr>
        <w:t>、统筹管理</w:t>
      </w:r>
      <w:r>
        <w:rPr>
          <w:shd w:val="clear" w:color="auto" w:fill="auto"/>
        </w:rPr>
        <w:t>重点保护区</w:t>
      </w:r>
      <w:bookmarkEnd w:id="15"/>
    </w:p>
    <w:p w14:paraId="6D626D5B">
      <w:pPr>
        <w:pStyle w:val="29"/>
        <w:spacing w:before="156" w:after="156"/>
        <w:ind w:firstLine="643"/>
        <w:rPr>
          <w:shd w:val="clear" w:color="auto" w:fill="auto"/>
        </w:rPr>
      </w:pPr>
      <w:r>
        <w:rPr>
          <w:rFonts w:hint="eastAsia"/>
          <w:shd w:val="clear" w:color="auto" w:fill="auto"/>
        </w:rPr>
        <w:t>（一）明确区域范围</w:t>
      </w:r>
    </w:p>
    <w:p w14:paraId="29D1AF0B">
      <w:pPr>
        <w:pStyle w:val="22"/>
        <w:ind w:firstLine="640"/>
        <w:rPr>
          <w:shd w:val="clear" w:color="auto" w:fill="auto"/>
        </w:rPr>
      </w:pPr>
      <w:r>
        <w:rPr>
          <w:rFonts w:hint="eastAsia"/>
          <w:shd w:val="clear" w:color="auto" w:fill="auto"/>
        </w:rPr>
        <w:t>按照《条例》要求，除国土空间规划确定的城镇开发边界范围外，将海拔1500米至2000米之间的区域，陕西鹰嘴石省级自然保护区的一般控制区，镇安城区集中式饮用水水源地二级保护区，陕西木王国家森林公园的重要功能区，黑窑沟国有林场、木王国有林场的国有天然林分布区，旬河重要湿地镇安段，倪氏民居、黑龙庙、朝阳观、米粮寺及烈士陵墓、太阳山乾初洞摩崖题刻、云盖寺及云盖寺镇街民居、刘氏民居、百神洞黑龙庙、茅坡寨、文家庙石拱桥、杨家垭清真寺、五星村崖居岩画、塔云山、白塔寨遗址1</w:t>
      </w:r>
      <w:r>
        <w:rPr>
          <w:shd w:val="clear" w:color="auto" w:fill="auto"/>
        </w:rPr>
        <w:t>4处省级文物保护单位</w:t>
      </w:r>
      <w:r>
        <w:rPr>
          <w:rFonts w:hint="eastAsia"/>
          <w:shd w:val="clear" w:color="auto" w:fill="auto"/>
        </w:rPr>
        <w:t>划入镇安县秦岭重点保护区。该区域涉及14个镇（办），54个行政村（社区），面积约311.388平方公里，占全县秦岭生态环境保护范围总面积的8.93%</w:t>
      </w:r>
      <w:r>
        <w:rPr>
          <w:rStyle w:val="20"/>
          <w:shd w:val="clear" w:color="auto" w:fill="auto"/>
        </w:rPr>
        <w:footnoteReference w:id="1"/>
      </w:r>
      <w:r>
        <w:rPr>
          <w:rFonts w:hint="eastAsia"/>
          <w:shd w:val="clear" w:color="auto" w:fill="auto"/>
        </w:rPr>
        <w: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126"/>
        <w:gridCol w:w="5862"/>
      </w:tblGrid>
      <w:tr w14:paraId="6F36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834" w:type="dxa"/>
            <w:gridSpan w:val="3"/>
            <w:vAlign w:val="center"/>
          </w:tcPr>
          <w:p w14:paraId="46B37FB3">
            <w:pPr>
              <w:adjustRightInd w:val="0"/>
              <w:snapToGrid w:val="0"/>
              <w:spacing w:line="560" w:lineRule="exact"/>
              <w:jc w:val="center"/>
              <w:rPr>
                <w:rFonts w:ascii="Times New Roman" w:hAnsi="Times New Roman" w:eastAsia="黑体"/>
                <w:bCs/>
                <w:color w:val="000000"/>
                <w:sz w:val="30"/>
                <w:szCs w:val="32"/>
              </w:rPr>
            </w:pPr>
            <w:r>
              <w:rPr>
                <w:rFonts w:ascii="Times New Roman" w:hAnsi="Times New Roman" w:eastAsia="黑体"/>
                <w:bCs/>
                <w:color w:val="000000"/>
                <w:sz w:val="30"/>
                <w:szCs w:val="32"/>
              </w:rPr>
              <w:t>专栏</w:t>
            </w:r>
            <w:r>
              <w:rPr>
                <w:rFonts w:hint="eastAsia" w:ascii="Times New Roman" w:hAnsi="Times New Roman" w:eastAsia="黑体"/>
                <w:bCs/>
                <w:color w:val="000000"/>
                <w:sz w:val="30"/>
                <w:szCs w:val="32"/>
              </w:rPr>
              <w:t xml:space="preserve"> </w:t>
            </w:r>
            <w:r>
              <w:rPr>
                <w:rFonts w:ascii="Times New Roman" w:hAnsi="Times New Roman" w:eastAsia="黑体"/>
                <w:bCs/>
                <w:color w:val="000000"/>
                <w:sz w:val="30"/>
                <w:szCs w:val="32"/>
              </w:rPr>
              <w:t>6 镇安县秦岭</w:t>
            </w:r>
            <w:r>
              <w:rPr>
                <w:rFonts w:hint="eastAsia" w:ascii="Times New Roman" w:hAnsi="Times New Roman" w:eastAsia="黑体"/>
                <w:bCs/>
                <w:color w:val="000000"/>
                <w:sz w:val="30"/>
                <w:szCs w:val="32"/>
              </w:rPr>
              <w:t>重点</w:t>
            </w:r>
            <w:r>
              <w:rPr>
                <w:rFonts w:ascii="Times New Roman" w:hAnsi="Times New Roman" w:eastAsia="黑体"/>
                <w:bCs/>
                <w:color w:val="000000"/>
                <w:sz w:val="30"/>
                <w:szCs w:val="32"/>
              </w:rPr>
              <w:t>保护区涉及的镇村</w:t>
            </w:r>
          </w:p>
        </w:tc>
      </w:tr>
      <w:tr w14:paraId="2385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46" w:type="dxa"/>
            <w:vAlign w:val="center"/>
          </w:tcPr>
          <w:p w14:paraId="25DF7D2A">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序号</w:t>
            </w:r>
          </w:p>
        </w:tc>
        <w:tc>
          <w:tcPr>
            <w:tcW w:w="2126" w:type="dxa"/>
            <w:vAlign w:val="center"/>
          </w:tcPr>
          <w:p w14:paraId="09D189E8">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镇（办）</w:t>
            </w:r>
          </w:p>
        </w:tc>
        <w:tc>
          <w:tcPr>
            <w:tcW w:w="5862" w:type="dxa"/>
            <w:vAlign w:val="center"/>
          </w:tcPr>
          <w:p w14:paraId="46A42DFF">
            <w:pPr>
              <w:adjustRightInd w:val="0"/>
              <w:snapToGrid w:val="0"/>
              <w:spacing w:line="360" w:lineRule="exact"/>
              <w:jc w:val="center"/>
              <w:rPr>
                <w:rFonts w:ascii="Times New Roman" w:hAnsi="Times New Roman" w:eastAsia="楷体_GB2312"/>
                <w:b/>
                <w:bCs/>
                <w:sz w:val="24"/>
                <w:szCs w:val="32"/>
              </w:rPr>
            </w:pPr>
            <w:r>
              <w:rPr>
                <w:rFonts w:ascii="Times New Roman" w:hAnsi="Times New Roman" w:eastAsia="楷体_GB2312"/>
                <w:b/>
                <w:bCs/>
                <w:sz w:val="24"/>
                <w:szCs w:val="32"/>
              </w:rPr>
              <w:t>村</w:t>
            </w:r>
            <w:r>
              <w:rPr>
                <w:rFonts w:hint="eastAsia" w:ascii="Times New Roman" w:hAnsi="Times New Roman" w:eastAsia="楷体_GB2312"/>
                <w:b/>
                <w:bCs/>
                <w:sz w:val="24"/>
                <w:szCs w:val="32"/>
              </w:rPr>
              <w:t>（社区）</w:t>
            </w:r>
          </w:p>
        </w:tc>
      </w:tr>
      <w:tr w14:paraId="3731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846" w:type="dxa"/>
            <w:vAlign w:val="center"/>
          </w:tcPr>
          <w:p w14:paraId="5031FEBC">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p>
        </w:tc>
        <w:tc>
          <w:tcPr>
            <w:tcW w:w="2126" w:type="dxa"/>
            <w:vAlign w:val="center"/>
          </w:tcPr>
          <w:p w14:paraId="2906437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木王镇</w:t>
            </w:r>
          </w:p>
        </w:tc>
        <w:tc>
          <w:tcPr>
            <w:tcW w:w="5862" w:type="dxa"/>
            <w:vAlign w:val="center"/>
          </w:tcPr>
          <w:p w14:paraId="70563B6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桂林村、长坪村、坪胜村、栗扎坪村、米粮寺村、平安村、月坪村、朝阳村</w:t>
            </w:r>
          </w:p>
        </w:tc>
      </w:tr>
      <w:tr w14:paraId="7B61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846" w:type="dxa"/>
            <w:vAlign w:val="center"/>
          </w:tcPr>
          <w:p w14:paraId="750CB8D6">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2</w:t>
            </w:r>
          </w:p>
        </w:tc>
        <w:tc>
          <w:tcPr>
            <w:tcW w:w="2126" w:type="dxa"/>
            <w:vAlign w:val="center"/>
          </w:tcPr>
          <w:p w14:paraId="041BD558">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月河镇</w:t>
            </w:r>
          </w:p>
        </w:tc>
        <w:tc>
          <w:tcPr>
            <w:tcW w:w="5862" w:type="dxa"/>
            <w:vAlign w:val="center"/>
          </w:tcPr>
          <w:p w14:paraId="3AD43E27">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菩萨殿村、川河村、先锋村、罗家营村、黄土岭村、八盘村、益兴村、太白庙村</w:t>
            </w:r>
          </w:p>
        </w:tc>
      </w:tr>
      <w:tr w14:paraId="5A57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46" w:type="dxa"/>
            <w:vAlign w:val="center"/>
          </w:tcPr>
          <w:p w14:paraId="58F9B59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3</w:t>
            </w:r>
          </w:p>
        </w:tc>
        <w:tc>
          <w:tcPr>
            <w:tcW w:w="2126" w:type="dxa"/>
            <w:vAlign w:val="center"/>
          </w:tcPr>
          <w:p w14:paraId="7EB750D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庙沟镇</w:t>
            </w:r>
          </w:p>
        </w:tc>
        <w:tc>
          <w:tcPr>
            <w:tcW w:w="5862" w:type="dxa"/>
            <w:vAlign w:val="center"/>
          </w:tcPr>
          <w:p w14:paraId="59A642A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双喜村、中坪村、蒿坪村</w:t>
            </w:r>
          </w:p>
        </w:tc>
      </w:tr>
      <w:tr w14:paraId="4FC3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46" w:type="dxa"/>
            <w:vAlign w:val="center"/>
          </w:tcPr>
          <w:p w14:paraId="69E19A9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4</w:t>
            </w:r>
          </w:p>
        </w:tc>
        <w:tc>
          <w:tcPr>
            <w:tcW w:w="2126" w:type="dxa"/>
            <w:vAlign w:val="center"/>
          </w:tcPr>
          <w:p w14:paraId="0EF51297">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柴坪镇</w:t>
            </w:r>
          </w:p>
        </w:tc>
        <w:tc>
          <w:tcPr>
            <w:tcW w:w="5862" w:type="dxa"/>
            <w:vAlign w:val="center"/>
          </w:tcPr>
          <w:p w14:paraId="6AD6DC0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建国村、柴坪村、向阳村、东瓜村、安坪村、桃园村</w:t>
            </w:r>
          </w:p>
        </w:tc>
      </w:tr>
      <w:tr w14:paraId="033E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0A920C1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5</w:t>
            </w:r>
          </w:p>
        </w:tc>
        <w:tc>
          <w:tcPr>
            <w:tcW w:w="2126" w:type="dxa"/>
            <w:vAlign w:val="center"/>
          </w:tcPr>
          <w:p w14:paraId="1FE624D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青铜关镇</w:t>
            </w:r>
          </w:p>
        </w:tc>
        <w:tc>
          <w:tcPr>
            <w:tcW w:w="5862" w:type="dxa"/>
            <w:vAlign w:val="center"/>
          </w:tcPr>
          <w:p w14:paraId="5B205A8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旬河村</w:t>
            </w:r>
          </w:p>
        </w:tc>
      </w:tr>
      <w:tr w14:paraId="1E56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46" w:type="dxa"/>
            <w:vAlign w:val="center"/>
          </w:tcPr>
          <w:p w14:paraId="0CBA612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6</w:t>
            </w:r>
          </w:p>
        </w:tc>
        <w:tc>
          <w:tcPr>
            <w:tcW w:w="2126" w:type="dxa"/>
            <w:vAlign w:val="center"/>
          </w:tcPr>
          <w:p w14:paraId="652CF7A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云盖寺镇</w:t>
            </w:r>
          </w:p>
        </w:tc>
        <w:tc>
          <w:tcPr>
            <w:tcW w:w="5862" w:type="dxa"/>
            <w:vAlign w:val="center"/>
          </w:tcPr>
          <w:p w14:paraId="0926534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云镇社区、西洞村、东洞村、黑窑沟村、岩湾村、西华村</w:t>
            </w:r>
          </w:p>
        </w:tc>
      </w:tr>
      <w:tr w14:paraId="1815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46" w:type="dxa"/>
            <w:vAlign w:val="center"/>
          </w:tcPr>
          <w:p w14:paraId="7313648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7</w:t>
            </w:r>
          </w:p>
        </w:tc>
        <w:tc>
          <w:tcPr>
            <w:tcW w:w="2126" w:type="dxa"/>
            <w:vAlign w:val="center"/>
          </w:tcPr>
          <w:p w14:paraId="4A0564CA">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永乐街道办</w:t>
            </w:r>
          </w:p>
        </w:tc>
        <w:tc>
          <w:tcPr>
            <w:tcW w:w="5862" w:type="dxa"/>
            <w:vAlign w:val="center"/>
          </w:tcPr>
          <w:p w14:paraId="4BF8850E">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太平村、杏树坡村、锡铜沟村、青槐社区、王家坪社区</w:t>
            </w:r>
          </w:p>
        </w:tc>
      </w:tr>
      <w:tr w14:paraId="3FCC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02F58B9C">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8</w:t>
            </w:r>
          </w:p>
        </w:tc>
        <w:tc>
          <w:tcPr>
            <w:tcW w:w="2126" w:type="dxa"/>
            <w:vAlign w:val="center"/>
          </w:tcPr>
          <w:p w14:paraId="20F993F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西口回族镇</w:t>
            </w:r>
          </w:p>
        </w:tc>
        <w:tc>
          <w:tcPr>
            <w:tcW w:w="5862" w:type="dxa"/>
            <w:vAlign w:val="center"/>
          </w:tcPr>
          <w:p w14:paraId="21AE890F">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长发村、石景村、上河村、石门村、青树村</w:t>
            </w:r>
          </w:p>
        </w:tc>
      </w:tr>
      <w:tr w14:paraId="2345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2E0EB5DF">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9</w:t>
            </w:r>
          </w:p>
        </w:tc>
        <w:tc>
          <w:tcPr>
            <w:tcW w:w="2126" w:type="dxa"/>
            <w:vAlign w:val="center"/>
          </w:tcPr>
          <w:p w14:paraId="0563F838">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铁厂镇</w:t>
            </w:r>
          </w:p>
        </w:tc>
        <w:tc>
          <w:tcPr>
            <w:tcW w:w="5862" w:type="dxa"/>
            <w:vAlign w:val="center"/>
          </w:tcPr>
          <w:p w14:paraId="67362567">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新民村</w:t>
            </w:r>
          </w:p>
        </w:tc>
      </w:tr>
      <w:tr w14:paraId="38DA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46" w:type="dxa"/>
            <w:vAlign w:val="center"/>
          </w:tcPr>
          <w:p w14:paraId="4820A3F4">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0</w:t>
            </w:r>
          </w:p>
        </w:tc>
        <w:tc>
          <w:tcPr>
            <w:tcW w:w="2126" w:type="dxa"/>
            <w:vAlign w:val="center"/>
          </w:tcPr>
          <w:p w14:paraId="273EAE8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茅坪回族镇</w:t>
            </w:r>
          </w:p>
        </w:tc>
        <w:tc>
          <w:tcPr>
            <w:tcW w:w="5862" w:type="dxa"/>
            <w:vAlign w:val="center"/>
          </w:tcPr>
          <w:p w14:paraId="2AB9E6DB">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红光村、五星村、茅坪村</w:t>
            </w:r>
          </w:p>
        </w:tc>
      </w:tr>
      <w:tr w14:paraId="7526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46" w:type="dxa"/>
            <w:vAlign w:val="center"/>
          </w:tcPr>
          <w:p w14:paraId="22CDFE4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1</w:t>
            </w:r>
          </w:p>
        </w:tc>
        <w:tc>
          <w:tcPr>
            <w:tcW w:w="2126" w:type="dxa"/>
            <w:vAlign w:val="center"/>
          </w:tcPr>
          <w:p w14:paraId="53A1035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米粮镇</w:t>
            </w:r>
          </w:p>
        </w:tc>
        <w:tc>
          <w:tcPr>
            <w:tcW w:w="5862" w:type="dxa"/>
            <w:vAlign w:val="center"/>
          </w:tcPr>
          <w:p w14:paraId="63094198">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树坪村</w:t>
            </w:r>
          </w:p>
        </w:tc>
      </w:tr>
      <w:tr w14:paraId="3816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46" w:type="dxa"/>
            <w:vAlign w:val="center"/>
          </w:tcPr>
          <w:p w14:paraId="5B0FEA1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2</w:t>
            </w:r>
          </w:p>
        </w:tc>
        <w:tc>
          <w:tcPr>
            <w:tcW w:w="2126" w:type="dxa"/>
            <w:vAlign w:val="center"/>
          </w:tcPr>
          <w:p w14:paraId="0C954BC1">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回龙镇</w:t>
            </w:r>
          </w:p>
        </w:tc>
        <w:tc>
          <w:tcPr>
            <w:tcW w:w="5862" w:type="dxa"/>
            <w:vAlign w:val="center"/>
          </w:tcPr>
          <w:p w14:paraId="5687F032">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宏丰村、双龙村</w:t>
            </w:r>
          </w:p>
        </w:tc>
      </w:tr>
      <w:tr w14:paraId="581D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562400BD">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3</w:t>
            </w:r>
          </w:p>
        </w:tc>
        <w:tc>
          <w:tcPr>
            <w:tcW w:w="2126" w:type="dxa"/>
            <w:vAlign w:val="center"/>
          </w:tcPr>
          <w:p w14:paraId="3E3D2C33">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高峰镇</w:t>
            </w:r>
          </w:p>
        </w:tc>
        <w:tc>
          <w:tcPr>
            <w:tcW w:w="5862" w:type="dxa"/>
            <w:vAlign w:val="center"/>
          </w:tcPr>
          <w:p w14:paraId="4BD57CB0">
            <w:pPr>
              <w:pStyle w:val="36"/>
            </w:pPr>
            <w:r>
              <w:rPr>
                <w:rFonts w:hint="eastAsia" w:eastAsia="楷体_GB2312"/>
                <w:color w:val="auto"/>
                <w:sz w:val="24"/>
                <w:shd w:val="clear" w:color="auto" w:fill="auto"/>
              </w:rPr>
              <w:t>渔坪村、两河村</w:t>
            </w:r>
          </w:p>
        </w:tc>
      </w:tr>
      <w:tr w14:paraId="2624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6" w:type="dxa"/>
            <w:vAlign w:val="center"/>
          </w:tcPr>
          <w:p w14:paraId="7871D94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1</w:t>
            </w:r>
            <w:r>
              <w:rPr>
                <w:rFonts w:ascii="Times New Roman" w:hAnsi="Times New Roman" w:eastAsia="楷体_GB2312"/>
                <w:bCs/>
                <w:sz w:val="24"/>
                <w:szCs w:val="32"/>
              </w:rPr>
              <w:t>4</w:t>
            </w:r>
          </w:p>
        </w:tc>
        <w:tc>
          <w:tcPr>
            <w:tcW w:w="2126" w:type="dxa"/>
            <w:vAlign w:val="center"/>
          </w:tcPr>
          <w:p w14:paraId="42A9C5B9">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shd w:val="clear" w:color="auto" w:fill="FFFFFF"/>
              </w:rPr>
              <w:t>达仁镇</w:t>
            </w:r>
          </w:p>
        </w:tc>
        <w:tc>
          <w:tcPr>
            <w:tcW w:w="5862" w:type="dxa"/>
            <w:vAlign w:val="center"/>
          </w:tcPr>
          <w:p w14:paraId="06131BF5">
            <w:pPr>
              <w:adjustRightInd w:val="0"/>
              <w:snapToGrid w:val="0"/>
              <w:spacing w:line="360" w:lineRule="exact"/>
              <w:jc w:val="center"/>
              <w:rPr>
                <w:rFonts w:ascii="Times New Roman" w:hAnsi="Times New Roman" w:eastAsia="楷体_GB2312"/>
                <w:bCs/>
                <w:sz w:val="24"/>
                <w:szCs w:val="32"/>
              </w:rPr>
            </w:pPr>
            <w:r>
              <w:rPr>
                <w:rFonts w:hint="eastAsia" w:ascii="Times New Roman" w:hAnsi="Times New Roman" w:eastAsia="楷体_GB2312"/>
                <w:bCs/>
                <w:sz w:val="24"/>
                <w:szCs w:val="32"/>
              </w:rPr>
              <w:t>玉泉村、双河村、象园村</w:t>
            </w:r>
          </w:p>
        </w:tc>
      </w:tr>
      <w:tr w14:paraId="4A68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gridSpan w:val="3"/>
            <w:vAlign w:val="center"/>
          </w:tcPr>
          <w:p w14:paraId="57B80A1A">
            <w:pPr>
              <w:adjustRightInd w:val="0"/>
              <w:snapToGrid w:val="0"/>
              <w:spacing w:line="360" w:lineRule="exact"/>
              <w:rPr>
                <w:rFonts w:ascii="Times New Roman" w:hAnsi="Times New Roman" w:eastAsia="楷体_GB2312"/>
                <w:b/>
                <w:bCs/>
                <w:sz w:val="24"/>
                <w:szCs w:val="32"/>
              </w:rPr>
            </w:pPr>
            <w:r>
              <w:rPr>
                <w:rFonts w:ascii="Times New Roman" w:hAnsi="Times New Roman" w:eastAsia="楷体_GB2312"/>
                <w:b/>
                <w:bCs/>
                <w:sz w:val="24"/>
                <w:szCs w:val="32"/>
              </w:rPr>
              <w:t>注</w:t>
            </w:r>
            <w:r>
              <w:rPr>
                <w:rFonts w:hint="eastAsia" w:ascii="Times New Roman" w:hAnsi="Times New Roman" w:eastAsia="楷体_GB2312"/>
                <w:b/>
                <w:bCs/>
                <w:sz w:val="24"/>
                <w:szCs w:val="32"/>
              </w:rPr>
              <w:t>：以上村庄只是部分面积纳入秦岭核心保护区，待自然保护地整合优化数据和国土三调数据批复后，开展勘界定标工作，进一步核实、明确村庄纳入面积。</w:t>
            </w:r>
          </w:p>
        </w:tc>
      </w:tr>
    </w:tbl>
    <w:p w14:paraId="59A322F7">
      <w:pPr>
        <w:pStyle w:val="29"/>
        <w:spacing w:before="156" w:after="156"/>
        <w:ind w:firstLine="643"/>
        <w:rPr>
          <w:shd w:val="clear" w:color="auto" w:fill="auto"/>
        </w:rPr>
      </w:pPr>
      <w:r>
        <w:rPr>
          <w:rFonts w:hint="eastAsia"/>
          <w:shd w:val="clear" w:color="auto" w:fill="auto"/>
        </w:rPr>
        <w:t>（二）加强区域管控</w:t>
      </w:r>
    </w:p>
    <w:p w14:paraId="50877F35">
      <w:pPr>
        <w:pStyle w:val="22"/>
        <w:ind w:firstLine="640"/>
        <w:rPr>
          <w:shd w:val="clear" w:color="auto" w:fill="auto"/>
        </w:rPr>
      </w:pPr>
      <w:r>
        <w:rPr>
          <w:rFonts w:hint="eastAsia"/>
          <w:shd w:val="clear" w:color="auto" w:fill="auto"/>
        </w:rPr>
        <w:t>重点保护区内生物多样性集中，原始森林和野生珍稀动植物资源丰富，是自然保护区、森林公园等生态类保护区集中区，也是国家南水北调中线工程主要水源涵养区，自然生态环境容易遭受破坏，对于秦岭科学保护和合理利用十分关键。除《陕西省秦岭生态环境保护条例》另有规定外，重点保护区不得进行与其保护功能不相符的开发建设活动；依法禁止房地产开发；不得新建水电站；不得新建、扩建、异地重建宗教活动场所；禁止勘探、开发矿产资源和开山采石，严格执行重点保护区产业准入清单制度。在重点保护区实施能源、交通、水利、国防等重大基础设施建设和战略性矿产资源勘查项目，应当依法进行环境影响评价，报省人民政府审定。法律、行政法规对重点保护区管理有相关规定的，依照相关规定执行。</w:t>
      </w:r>
    </w:p>
    <w:p w14:paraId="23FEAECB">
      <w:pPr>
        <w:pStyle w:val="29"/>
        <w:spacing w:before="156" w:after="156"/>
        <w:ind w:firstLine="643"/>
        <w:rPr>
          <w:shd w:val="clear" w:color="auto" w:fill="auto"/>
        </w:rPr>
      </w:pPr>
      <w:r>
        <w:rPr>
          <w:rFonts w:hint="eastAsia"/>
          <w:shd w:val="clear" w:color="auto" w:fill="auto"/>
        </w:rPr>
        <w:t>（三）实施重点任务</w:t>
      </w:r>
    </w:p>
    <w:p w14:paraId="62813878">
      <w:pPr>
        <w:pStyle w:val="22"/>
        <w:ind w:firstLine="640"/>
        <w:rPr>
          <w:shd w:val="clear" w:color="auto" w:fill="auto"/>
        </w:rPr>
      </w:pPr>
      <w:r>
        <w:rPr>
          <w:shd w:val="clear" w:color="auto" w:fill="auto"/>
        </w:rPr>
        <w:t>在</w:t>
      </w:r>
      <w:r>
        <w:rPr>
          <w:rFonts w:hint="eastAsia"/>
          <w:shd w:val="clear" w:color="auto" w:fill="auto"/>
        </w:rPr>
        <w:t>陕西鹰嘴石省级自然保护区的一般控制区内加强保护站点、检查哨卡、巡护监测设施建设，配备专职巡护人员，强化日常巡护管理，建立早发现、早制止、严厉打击工作机制。在镇安城区集中式饮用水水源地二级保护区内，禁止新建、改建、扩建与供水设施和保护水源无关的建设项目，并结合农村环境综合整治，着力解决水源保护区内农村污水和垃圾污染问题。</w:t>
      </w:r>
      <w:r>
        <w:rPr>
          <w:shd w:val="clear" w:color="auto" w:fill="auto"/>
        </w:rPr>
        <w:t>在</w:t>
      </w:r>
      <w:r>
        <w:rPr>
          <w:rFonts w:hint="eastAsia"/>
          <w:shd w:val="clear" w:color="auto" w:fill="auto"/>
        </w:rPr>
        <w:t>陕西木王国家森林公园的重要功能区、黑窑沟国有林场、木王国有林场的国有天然林分布区、旬河重要湿地镇安段等各类保护区集中区，积极落实退耕还林、封山育林、退耕禁牧等措施，增强水土保持能力，加大生态环境修复治理力度，提高水源涵养功能。对于全县1</w:t>
      </w:r>
      <w:r>
        <w:rPr>
          <w:shd w:val="clear" w:color="auto" w:fill="auto"/>
        </w:rPr>
        <w:t>4处省级文物保护单位</w:t>
      </w:r>
      <w:r>
        <w:rPr>
          <w:rFonts w:hint="eastAsia"/>
          <w:shd w:val="clear" w:color="auto" w:fill="auto"/>
        </w:rPr>
        <w:t>，加强对文物保护员的培训及管理工作，划分保护范围、设立保护标识，有针对性统筹保护文物，在确保文物安全前提下进行开发利用。</w:t>
      </w:r>
    </w:p>
    <w:p w14:paraId="12602C29">
      <w:pPr>
        <w:pStyle w:val="22"/>
        <w:ind w:firstLine="643"/>
        <w:rPr>
          <w:b/>
          <w:shd w:val="clear" w:color="auto" w:fill="auto"/>
        </w:rPr>
      </w:pPr>
      <w:r>
        <w:rPr>
          <w:rFonts w:hint="eastAsia"/>
          <w:b/>
          <w:shd w:val="clear" w:color="auto" w:fill="auto"/>
        </w:rPr>
        <w:t>牵头单位：县发改局；配合单位：县资源局、县林业局、县水利局、县环境局、县文旅局、县农业农村局、相关镇办</w:t>
      </w:r>
    </w:p>
    <w:p w14:paraId="0E8AEF33">
      <w:pPr>
        <w:pStyle w:val="32"/>
        <w:spacing w:before="156" w:after="156"/>
        <w:ind w:firstLine="640"/>
        <w:rPr>
          <w:shd w:val="clear" w:color="auto" w:fill="auto"/>
        </w:rPr>
      </w:pPr>
      <w:bookmarkStart w:id="16" w:name="_Toc59298934"/>
      <w:r>
        <w:rPr>
          <w:shd w:val="clear" w:color="auto" w:fill="auto"/>
        </w:rPr>
        <w:t>三</w:t>
      </w:r>
      <w:r>
        <w:rPr>
          <w:rFonts w:hint="eastAsia"/>
          <w:shd w:val="clear" w:color="auto" w:fill="auto"/>
        </w:rPr>
        <w:t>、科学规划</w:t>
      </w:r>
      <w:r>
        <w:rPr>
          <w:shd w:val="clear" w:color="auto" w:fill="auto"/>
        </w:rPr>
        <w:t>一般保护区</w:t>
      </w:r>
      <w:bookmarkEnd w:id="16"/>
    </w:p>
    <w:p w14:paraId="030723E4">
      <w:pPr>
        <w:pStyle w:val="29"/>
        <w:spacing w:before="156" w:after="156"/>
        <w:ind w:firstLine="643"/>
        <w:rPr>
          <w:shd w:val="clear" w:color="auto" w:fill="auto"/>
        </w:rPr>
      </w:pPr>
      <w:r>
        <w:rPr>
          <w:rFonts w:hint="eastAsia"/>
          <w:shd w:val="clear" w:color="auto" w:fill="auto"/>
        </w:rPr>
        <w:t>（一）明确区域范围</w:t>
      </w:r>
    </w:p>
    <w:p w14:paraId="43F88352">
      <w:pPr>
        <w:pStyle w:val="22"/>
        <w:ind w:firstLine="640"/>
        <w:rPr>
          <w:shd w:val="clear" w:color="auto" w:fill="auto"/>
        </w:rPr>
      </w:pPr>
      <w:r>
        <w:rPr>
          <w:rFonts w:hint="eastAsia"/>
          <w:shd w:val="clear" w:color="auto" w:fill="auto"/>
        </w:rPr>
        <w:t>将镇安县秦岭生态环境保护范围内除核心保护区、重点保护区以外的区域划为一般保护区。该区域涉及15个镇（办），154个行政村（社区），面积约3081.75平方公里，占全县秦岭保护区总面积的88.38%。</w:t>
      </w:r>
    </w:p>
    <w:p w14:paraId="01DE5DC3">
      <w:pPr>
        <w:pStyle w:val="29"/>
        <w:spacing w:before="156" w:after="156"/>
        <w:ind w:firstLine="643"/>
        <w:rPr>
          <w:shd w:val="clear" w:color="auto" w:fill="auto"/>
        </w:rPr>
      </w:pPr>
      <w:r>
        <w:rPr>
          <w:rFonts w:hint="eastAsia"/>
          <w:shd w:val="clear" w:color="auto" w:fill="auto"/>
        </w:rPr>
        <w:t>（二）加强区域管控</w:t>
      </w:r>
    </w:p>
    <w:p w14:paraId="3C4EAD69">
      <w:pPr>
        <w:pStyle w:val="22"/>
        <w:ind w:firstLine="640"/>
      </w:pPr>
      <w:r>
        <w:rPr>
          <w:rFonts w:hint="eastAsia"/>
        </w:rPr>
        <w:t>一般保护区内自然地理条件相对较好，人口密集、交通发达、产业集中，具有一定的发展空间，是资源环境承载能力相对较强的地区，主要承担实现经济社会高质量发展、促进人与自然和谐共生的功能。区域内各类生产、生活和建设活动，应当严格执行《陕西省秦岭生态环境保护条例》和相关法律、法规、规划的规定，严格执行一般保护区产业准入清单制度。</w:t>
      </w:r>
    </w:p>
    <w:p w14:paraId="1F83607C">
      <w:pPr>
        <w:pStyle w:val="29"/>
        <w:spacing w:before="156" w:after="156"/>
        <w:ind w:firstLine="643"/>
        <w:rPr>
          <w:shd w:val="clear" w:color="auto" w:fill="auto"/>
        </w:rPr>
      </w:pPr>
      <w:r>
        <w:rPr>
          <w:rFonts w:hint="eastAsia"/>
          <w:shd w:val="clear" w:color="auto" w:fill="auto"/>
        </w:rPr>
        <w:t>（三）实施重点任务</w:t>
      </w:r>
    </w:p>
    <w:p w14:paraId="4ABFA940">
      <w:pPr>
        <w:pStyle w:val="22"/>
        <w:ind w:firstLine="640"/>
        <w:rPr>
          <w:shd w:val="clear" w:color="auto" w:fill="auto"/>
        </w:rPr>
      </w:pPr>
      <w:r>
        <w:rPr>
          <w:rFonts w:hint="eastAsia"/>
          <w:shd w:val="clear" w:color="auto" w:fill="auto"/>
        </w:rPr>
        <w:t>牢固树立“共抓大保护、不搞大开发”理念，持续推进生态破坏和环境污染的修复治理，稳步提高森林植被覆盖率，加快小流域综合治理，提高水源涵养能力。依法取得采矿许可证等相关审批手续的矿产资源开发企业，应当按照绿色矿山标准进行建设、生产，采用先进工艺技术和措施，提高资源综合利用率，减少对水体和生态环境的损害，实现废水、废气、重金属等污染物达标排放，固体废弃物按规定处理处置。淘汰高污染、高耗能、高排放落后产能，鼓励发展绿色循环经济，发展以生态旅游为重点的现代服务业，发展绿色农业、有机农业与地理标志农业，加快经济结构调整和产业优化升级。综合提升城乡给排水、公厕、道路、电网、污水垃圾处理、水源地保护等基础设施水平。提高地质灾害、气象灾害风险预警水平和崩塌、滑坡、泥石流、山洪等自然灾害的避险撤离能力。</w:t>
      </w:r>
    </w:p>
    <w:p w14:paraId="35CCEAEC">
      <w:pPr>
        <w:pStyle w:val="22"/>
        <w:ind w:firstLine="643"/>
        <w:rPr>
          <w:b/>
          <w:shd w:val="clear" w:color="auto" w:fill="auto"/>
        </w:rPr>
      </w:pPr>
      <w:r>
        <w:rPr>
          <w:rFonts w:hint="eastAsia"/>
          <w:b/>
          <w:shd w:val="clear" w:color="auto" w:fill="auto"/>
        </w:rPr>
        <w:t>牵头单位：县发改局；配合单位：县资源局、县林业局、县水利局、县环境局、县文旅局、县农业农村局、县经贸局、县住建局、工业集中区管委会、各镇办</w:t>
      </w:r>
    </w:p>
    <w:p w14:paraId="115D3515">
      <w:pPr>
        <w:pStyle w:val="32"/>
        <w:spacing w:before="156" w:after="156"/>
        <w:ind w:firstLine="640"/>
        <w:rPr>
          <w:shd w:val="clear" w:color="auto" w:fill="auto"/>
        </w:rPr>
      </w:pPr>
      <w:bookmarkStart w:id="17" w:name="_Toc59298935"/>
      <w:r>
        <w:rPr>
          <w:shd w:val="clear" w:color="auto" w:fill="auto"/>
        </w:rPr>
        <w:t>四</w:t>
      </w:r>
      <w:r>
        <w:rPr>
          <w:rFonts w:hint="eastAsia"/>
          <w:shd w:val="clear" w:color="auto" w:fill="auto"/>
        </w:rPr>
        <w:t>、</w:t>
      </w:r>
      <w:r>
        <w:rPr>
          <w:shd w:val="clear" w:color="auto" w:fill="auto"/>
        </w:rPr>
        <w:t>完成勘界定标工作</w:t>
      </w:r>
      <w:bookmarkEnd w:id="17"/>
    </w:p>
    <w:p w14:paraId="3FCA15D6">
      <w:pPr>
        <w:pStyle w:val="29"/>
        <w:spacing w:before="156" w:after="156"/>
        <w:ind w:firstLine="643"/>
        <w:rPr>
          <w:shd w:val="clear" w:color="auto" w:fill="auto"/>
        </w:rPr>
      </w:pPr>
      <w:r>
        <w:rPr>
          <w:rFonts w:hint="eastAsia"/>
          <w:shd w:val="clear" w:color="auto" w:fill="auto"/>
        </w:rPr>
        <w:t>（一）确定重点保护对象保护范围</w:t>
      </w:r>
    </w:p>
    <w:p w14:paraId="46B476DA">
      <w:pPr>
        <w:pStyle w:val="22"/>
        <w:ind w:firstLine="640"/>
        <w:rPr>
          <w:shd w:val="clear" w:color="auto" w:fill="auto"/>
        </w:rPr>
      </w:pPr>
      <w:r>
        <w:rPr>
          <w:rFonts w:hint="eastAsia"/>
          <w:shd w:val="clear" w:color="auto" w:fill="auto"/>
        </w:rPr>
        <w:t>根据自然保护地整合优化方案，完善镇安县陕西鹰嘴石省级自然保护区、陕西木王国家森林公园等自然保护地范围及功能区划矢量数据库。立足县域实际情况，加快云镇水库饮用水水源地建设，科学划定一、二级保护区，建立矢量数据库。根据年度林地变更数据，动态调整黑窑沟国有林场、木王国有林场的国有天然林分布区范围。</w:t>
      </w:r>
    </w:p>
    <w:p w14:paraId="1440674F">
      <w:pPr>
        <w:pStyle w:val="29"/>
        <w:spacing w:before="156" w:after="156"/>
        <w:ind w:firstLine="643"/>
        <w:rPr>
          <w:shd w:val="clear" w:color="auto" w:fill="auto"/>
        </w:rPr>
      </w:pPr>
      <w:r>
        <w:rPr>
          <w:rFonts w:hint="eastAsia"/>
          <w:shd w:val="clear" w:color="auto" w:fill="auto"/>
        </w:rPr>
        <w:t>（二）建立秦岭保护区矢量数据库</w:t>
      </w:r>
    </w:p>
    <w:p w14:paraId="05C7FA93">
      <w:pPr>
        <w:pStyle w:val="22"/>
        <w:ind w:firstLine="640"/>
        <w:rPr>
          <w:shd w:val="clear" w:color="auto" w:fill="auto"/>
        </w:rPr>
      </w:pPr>
      <w:r>
        <w:rPr>
          <w:shd w:val="clear" w:color="auto" w:fill="auto"/>
        </w:rPr>
        <w:t>结合河流</w:t>
      </w:r>
      <w:r>
        <w:rPr>
          <w:rFonts w:hint="eastAsia"/>
          <w:shd w:val="clear" w:color="auto" w:fill="auto"/>
        </w:rPr>
        <w:t>、</w:t>
      </w:r>
      <w:r>
        <w:rPr>
          <w:shd w:val="clear" w:color="auto" w:fill="auto"/>
        </w:rPr>
        <w:t>植被等自然地理边界</w:t>
      </w:r>
      <w:r>
        <w:rPr>
          <w:rFonts w:hint="eastAsia"/>
          <w:shd w:val="clear" w:color="auto" w:fill="auto"/>
        </w:rPr>
        <w:t>，</w:t>
      </w:r>
      <w:r>
        <w:rPr>
          <w:shd w:val="clear" w:color="auto" w:fill="auto"/>
        </w:rPr>
        <w:t>村庄</w:t>
      </w:r>
      <w:r>
        <w:rPr>
          <w:rFonts w:hint="eastAsia"/>
          <w:shd w:val="clear" w:color="auto" w:fill="auto"/>
        </w:rPr>
        <w:t>、</w:t>
      </w:r>
      <w:r>
        <w:rPr>
          <w:shd w:val="clear" w:color="auto" w:fill="auto"/>
        </w:rPr>
        <w:t>耕地等经济社会边界</w:t>
      </w:r>
      <w:r>
        <w:rPr>
          <w:rFonts w:hint="eastAsia"/>
          <w:shd w:val="clear" w:color="auto" w:fill="auto"/>
        </w:rPr>
        <w:t>，确定镇安秦岭核心保护区、重点保护区、一般保护区空间实体边界，与生态保护红线、永久基本农田、城镇开发边界和文物保护边界等做好衔接，保持生态系统、经济社会基本单元完整性，建立秦岭范围矢量数据库。依法依规对自然保护地范围和区划实施调整时，核心保护区、重点保护区、一般保护区范围与勘界立标也做相应调整。</w:t>
      </w:r>
    </w:p>
    <w:p w14:paraId="63E487B5">
      <w:pPr>
        <w:pStyle w:val="29"/>
        <w:spacing w:before="156" w:after="156"/>
        <w:ind w:firstLine="643"/>
        <w:rPr>
          <w:shd w:val="clear" w:color="auto" w:fill="auto"/>
        </w:rPr>
      </w:pPr>
      <w:r>
        <w:rPr>
          <w:rFonts w:hint="eastAsia"/>
          <w:shd w:val="clear" w:color="auto" w:fill="auto"/>
        </w:rPr>
        <w:t>（三）科学开展勘界定标工作</w:t>
      </w:r>
    </w:p>
    <w:p w14:paraId="51370E55">
      <w:pPr>
        <w:pStyle w:val="22"/>
        <w:ind w:firstLine="640"/>
        <w:rPr>
          <w:shd w:val="clear" w:color="auto" w:fill="auto"/>
        </w:rPr>
      </w:pPr>
      <w:r>
        <w:rPr>
          <w:rFonts w:hint="eastAsia"/>
          <w:shd w:val="clear" w:color="auto" w:fill="auto"/>
        </w:rPr>
        <w:t>在核心保护区、重点保护区、一般保护区边界线设置界桩时，以控制边界线走向为原则，参照边界地形、地貌，因地制宜，在重要转向点选择性设置，在自然地形不明显、人为活动较多的地段适当加密设置。在路口、村庄周边及其他人为活动集中的地点等重要地段（部位）设立标牌。到2025年，根据自然保护地整合归并优化成果，完成核心保护区、重点保护区和一般保护区勘界立标工作。</w:t>
      </w:r>
    </w:p>
    <w:p w14:paraId="482DBC14">
      <w:pPr>
        <w:pStyle w:val="22"/>
        <w:ind w:firstLine="643"/>
        <w:rPr>
          <w:b/>
          <w:shd w:val="clear" w:color="auto" w:fill="auto"/>
        </w:rPr>
      </w:pPr>
      <w:r>
        <w:rPr>
          <w:rFonts w:hint="eastAsia"/>
          <w:b/>
          <w:shd w:val="clear" w:color="auto" w:fill="auto"/>
        </w:rPr>
        <w:t>牵头单位：县发改局；配合单位：县资源局、县林业局、县水利局、县环境局、县文旅局、县农业农村局、各镇办</w:t>
      </w:r>
    </w:p>
    <w:p w14:paraId="1D952602">
      <w:pPr>
        <w:pStyle w:val="32"/>
        <w:spacing w:before="156" w:after="156"/>
        <w:ind w:firstLine="640"/>
        <w:rPr>
          <w:shd w:val="clear" w:color="auto" w:fill="auto"/>
        </w:rPr>
      </w:pPr>
      <w:bookmarkStart w:id="18" w:name="_Toc59298936"/>
      <w:r>
        <w:rPr>
          <w:rFonts w:hint="eastAsia"/>
          <w:shd w:val="clear" w:color="auto" w:fill="auto"/>
        </w:rPr>
        <w:t>五、加强</w:t>
      </w:r>
      <w:r>
        <w:rPr>
          <w:shd w:val="clear" w:color="auto" w:fill="auto"/>
        </w:rPr>
        <w:t>国土空间</w:t>
      </w:r>
      <w:r>
        <w:rPr>
          <w:rFonts w:hint="eastAsia"/>
          <w:shd w:val="clear" w:color="auto" w:fill="auto"/>
        </w:rPr>
        <w:t>管控</w:t>
      </w:r>
      <w:bookmarkEnd w:id="18"/>
    </w:p>
    <w:p w14:paraId="3BD970F3">
      <w:pPr>
        <w:pStyle w:val="22"/>
        <w:ind w:firstLine="640"/>
        <w:rPr>
          <w:shd w:val="clear" w:color="auto" w:fill="auto"/>
        </w:rPr>
      </w:pPr>
      <w:r>
        <w:rPr>
          <w:rFonts w:hint="eastAsia"/>
          <w:shd w:val="clear" w:color="auto" w:fill="auto"/>
        </w:rPr>
        <w:t>发挥国土空间规划在秦岭生态环境保护中的基础性作用，按照</w:t>
      </w:r>
      <w:r>
        <w:rPr>
          <w:rFonts w:hint="eastAsia"/>
          <w:shd w:val="clear" w:color="auto" w:fill="auto"/>
          <w:lang w:eastAsia="zh-CN"/>
        </w:rPr>
        <w:t>党中央、国务院</w:t>
      </w:r>
      <w:r>
        <w:rPr>
          <w:rFonts w:hint="eastAsia"/>
          <w:shd w:val="clear" w:color="auto" w:fill="auto"/>
        </w:rPr>
        <w:t>，省委、省政府和市委、市政府的要求，开展资源环境承载能力评价和国土空间开发适宜性评价，确定生态空间、农业空间、城镇空间总体格局，划定落实生态保护红线、永久基本农田、城镇开发边界等空间管控边界，与秦岭核心保护区、重点保护区范围有效衔接。</w:t>
      </w:r>
    </w:p>
    <w:p w14:paraId="1FCEF8C4">
      <w:pPr>
        <w:pStyle w:val="22"/>
        <w:ind w:firstLine="643"/>
        <w:rPr>
          <w:shd w:val="clear" w:color="auto" w:fill="auto"/>
        </w:rPr>
      </w:pPr>
      <w:r>
        <w:rPr>
          <w:rFonts w:hint="eastAsia" w:ascii="楷体_GB2312" w:eastAsia="楷体_GB2312"/>
          <w:b/>
          <w:shd w:val="clear" w:color="auto" w:fill="auto"/>
        </w:rPr>
        <w:t>划定并严守生态保护红线。</w:t>
      </w:r>
      <w:r>
        <w:rPr>
          <w:rFonts w:hint="eastAsia"/>
          <w:shd w:val="clear" w:color="auto" w:fill="auto"/>
        </w:rPr>
        <w:t>生态保护红线是生态环境安全的底线。秦岭分区保护规定与生态保护红线有关规定不一致的，按照从严管理的原则执行。</w:t>
      </w:r>
    </w:p>
    <w:p w14:paraId="622A2C8D">
      <w:pPr>
        <w:pStyle w:val="22"/>
        <w:ind w:firstLine="643"/>
        <w:rPr>
          <w:shd w:val="clear" w:color="auto" w:fill="auto"/>
        </w:rPr>
      </w:pPr>
      <w:r>
        <w:rPr>
          <w:rFonts w:hint="eastAsia" w:ascii="楷体_GB2312" w:eastAsia="楷体_GB2312"/>
          <w:b/>
          <w:shd w:val="clear" w:color="auto" w:fill="auto"/>
        </w:rPr>
        <w:t>从严管控城镇开发边界。</w:t>
      </w:r>
      <w:r>
        <w:rPr>
          <w:rFonts w:hint="eastAsia"/>
          <w:shd w:val="clear" w:color="auto" w:fill="auto"/>
        </w:rPr>
        <w:t>城镇开发边界是在一定时期内因城镇发展需要，可以集中进行城镇开发建设、以城镇功能为主的区域边界，涉及城市、建制镇以及各类开发区等。城镇开发边界内区域均属于一般保护区，依法依规划定城镇开发边界，防止无序蔓延。</w:t>
      </w:r>
    </w:p>
    <w:p w14:paraId="4FD1CCD7">
      <w:pPr>
        <w:pStyle w:val="22"/>
        <w:ind w:firstLine="643"/>
        <w:rPr>
          <w:shd w:val="clear" w:color="auto" w:fill="auto"/>
        </w:rPr>
      </w:pPr>
      <w:r>
        <w:rPr>
          <w:rFonts w:hint="eastAsia" w:ascii="楷体_GB2312" w:eastAsia="楷体_GB2312"/>
          <w:b/>
          <w:shd w:val="clear" w:color="auto" w:fill="auto"/>
        </w:rPr>
        <w:t>守住永久基本农田控制线。</w:t>
      </w:r>
      <w:r>
        <w:rPr>
          <w:rFonts w:hint="eastAsia"/>
          <w:shd w:val="clear" w:color="auto" w:fill="auto"/>
        </w:rPr>
        <w:t>永久基本农田是为保障国家粮食安全和重要农产品供给，实施永久特殊保护的耕地。依据耕地分布、耕地质量、粮食作物种植、土壤污染等现状，在严守耕地红线的基础上，按照一定比例，将达到质量要求的耕地依法划入。</w:t>
      </w:r>
    </w:p>
    <w:p w14:paraId="1D3C7513">
      <w:pPr>
        <w:pStyle w:val="22"/>
        <w:ind w:firstLine="643"/>
        <w:rPr>
          <w:b/>
          <w:shd w:val="clear" w:color="auto" w:fill="auto"/>
        </w:rPr>
      </w:pPr>
      <w:r>
        <w:rPr>
          <w:rFonts w:hint="eastAsia"/>
          <w:b/>
          <w:shd w:val="clear" w:color="auto" w:fill="auto"/>
        </w:rPr>
        <w:t>牵头单位：县资源局；配合单位：县发改局、县环境局、县农业农村局、县住建局</w:t>
      </w:r>
    </w:p>
    <w:p w14:paraId="765C0773">
      <w:pPr>
        <w:pStyle w:val="22"/>
        <w:ind w:firstLine="640"/>
        <w:rPr>
          <w:shd w:val="clear" w:color="auto" w:fill="auto"/>
        </w:rPr>
      </w:pPr>
    </w:p>
    <w:p w14:paraId="3EAC23D4">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6CE7600B">
      <w:pPr>
        <w:pStyle w:val="26"/>
        <w:spacing w:before="312" w:after="312"/>
        <w:rPr>
          <w:shd w:val="clear" w:color="auto" w:fill="auto"/>
        </w:rPr>
      </w:pPr>
      <w:bookmarkStart w:id="19" w:name="_Toc59298937"/>
      <w:r>
        <w:rPr>
          <w:shd w:val="clear" w:color="auto" w:fill="auto"/>
        </w:rPr>
        <w:t>第</w:t>
      </w:r>
      <w:r>
        <w:rPr>
          <w:rFonts w:hint="eastAsia"/>
          <w:shd w:val="clear" w:color="auto" w:fill="auto"/>
        </w:rPr>
        <w:t>五</w:t>
      </w:r>
      <w:r>
        <w:rPr>
          <w:shd w:val="clear" w:color="auto" w:fill="auto"/>
        </w:rPr>
        <w:t>章</w:t>
      </w:r>
      <w:r>
        <w:rPr>
          <w:rFonts w:hint="eastAsia"/>
          <w:shd w:val="clear" w:color="auto" w:fill="auto"/>
        </w:rPr>
        <w:t xml:space="preserve"> </w:t>
      </w:r>
      <w:r>
        <w:rPr>
          <w:shd w:val="clear" w:color="auto" w:fill="auto"/>
        </w:rPr>
        <w:t xml:space="preserve"> 加强林业生态建设</w:t>
      </w:r>
      <w:r>
        <w:rPr>
          <w:rFonts w:hint="eastAsia"/>
          <w:shd w:val="clear" w:color="auto" w:fill="auto"/>
        </w:rPr>
        <w:t>，促进</w:t>
      </w:r>
      <w:r>
        <w:rPr>
          <w:shd w:val="clear" w:color="auto" w:fill="auto"/>
        </w:rPr>
        <w:t>林业健康发展</w:t>
      </w:r>
      <w:bookmarkEnd w:id="19"/>
    </w:p>
    <w:p w14:paraId="035C72A5">
      <w:pPr>
        <w:pStyle w:val="22"/>
        <w:ind w:firstLine="640"/>
        <w:rPr>
          <w:shd w:val="clear" w:color="auto" w:fill="auto"/>
        </w:rPr>
      </w:pPr>
      <w:r>
        <w:rPr>
          <w:shd w:val="clear" w:color="auto" w:fill="auto"/>
        </w:rPr>
        <w:t>以保护和恢复森林植被为核心</w:t>
      </w:r>
      <w:r>
        <w:rPr>
          <w:rFonts w:hint="eastAsia"/>
          <w:shd w:val="clear" w:color="auto" w:fill="auto"/>
        </w:rPr>
        <w:t>，</w:t>
      </w:r>
      <w:r>
        <w:rPr>
          <w:shd w:val="clear" w:color="auto" w:fill="auto"/>
        </w:rPr>
        <w:t>统筹实施封山育林与禁牧</w:t>
      </w:r>
      <w:r>
        <w:rPr>
          <w:rFonts w:hint="eastAsia"/>
          <w:shd w:val="clear" w:color="auto" w:fill="auto"/>
        </w:rPr>
        <w:t>、</w:t>
      </w:r>
      <w:r>
        <w:rPr>
          <w:shd w:val="clear" w:color="auto" w:fill="auto"/>
        </w:rPr>
        <w:t>营林造林</w:t>
      </w:r>
      <w:r>
        <w:rPr>
          <w:rFonts w:hint="eastAsia"/>
          <w:shd w:val="clear" w:color="auto" w:fill="auto"/>
        </w:rPr>
        <w:t>、</w:t>
      </w:r>
      <w:r>
        <w:rPr>
          <w:shd w:val="clear" w:color="auto" w:fill="auto"/>
        </w:rPr>
        <w:t>天然林保护</w:t>
      </w:r>
      <w:r>
        <w:rPr>
          <w:rFonts w:hint="eastAsia"/>
          <w:shd w:val="clear" w:color="auto" w:fill="auto"/>
        </w:rPr>
        <w:t>、</w:t>
      </w:r>
      <w:r>
        <w:rPr>
          <w:shd w:val="clear" w:color="auto" w:fill="auto"/>
        </w:rPr>
        <w:t>退耕还林还草等林业生态工程</w:t>
      </w:r>
      <w:r>
        <w:rPr>
          <w:rFonts w:hint="eastAsia"/>
          <w:shd w:val="clear" w:color="auto" w:fill="auto"/>
        </w:rPr>
        <w:t>，</w:t>
      </w:r>
      <w:r>
        <w:rPr>
          <w:shd w:val="clear" w:color="auto" w:fill="auto"/>
        </w:rPr>
        <w:t>强化森林防火体系和林业有害生物防治体系建设</w:t>
      </w:r>
      <w:r>
        <w:rPr>
          <w:rFonts w:hint="eastAsia"/>
          <w:shd w:val="clear" w:color="auto" w:fill="auto"/>
        </w:rPr>
        <w:t>，</w:t>
      </w:r>
      <w:r>
        <w:rPr>
          <w:shd w:val="clear" w:color="auto" w:fill="auto"/>
        </w:rPr>
        <w:t>加强森林资源管护</w:t>
      </w:r>
      <w:r>
        <w:rPr>
          <w:rFonts w:hint="eastAsia"/>
          <w:shd w:val="clear" w:color="auto" w:fill="auto"/>
        </w:rPr>
        <w:t>，改善</w:t>
      </w:r>
      <w:r>
        <w:rPr>
          <w:shd w:val="clear" w:color="auto" w:fill="auto"/>
        </w:rPr>
        <w:t>秦岭区域生态环境质量</w:t>
      </w:r>
      <w:r>
        <w:rPr>
          <w:rFonts w:hint="eastAsia"/>
          <w:shd w:val="clear" w:color="auto" w:fill="auto"/>
        </w:rPr>
        <w:t>。</w:t>
      </w:r>
    </w:p>
    <w:p w14:paraId="0CA6E61B">
      <w:pPr>
        <w:pStyle w:val="32"/>
        <w:spacing w:before="156" w:after="156"/>
        <w:ind w:firstLine="640"/>
        <w:rPr>
          <w:shd w:val="clear" w:color="auto" w:fill="auto"/>
        </w:rPr>
      </w:pPr>
      <w:bookmarkStart w:id="20" w:name="_Toc59298938"/>
      <w:r>
        <w:rPr>
          <w:rFonts w:hint="eastAsia"/>
          <w:shd w:val="clear" w:color="auto" w:fill="auto"/>
        </w:rPr>
        <w:t>一、实施封山育林与禁牧</w:t>
      </w:r>
      <w:bookmarkEnd w:id="20"/>
    </w:p>
    <w:p w14:paraId="79D65C31">
      <w:pPr>
        <w:pStyle w:val="29"/>
        <w:spacing w:before="156" w:after="156"/>
        <w:ind w:firstLine="643"/>
        <w:rPr>
          <w:shd w:val="clear" w:color="auto" w:fill="auto"/>
        </w:rPr>
      </w:pPr>
      <w:r>
        <w:rPr>
          <w:rFonts w:hint="eastAsia"/>
          <w:shd w:val="clear" w:color="auto" w:fill="auto"/>
        </w:rPr>
        <w:t>（一）明确实施范围</w:t>
      </w:r>
    </w:p>
    <w:p w14:paraId="2F9BC175">
      <w:pPr>
        <w:pStyle w:val="22"/>
        <w:ind w:firstLine="640"/>
        <w:rPr>
          <w:shd w:val="clear" w:color="auto" w:fill="auto"/>
        </w:rPr>
      </w:pPr>
      <w:r>
        <w:rPr>
          <w:rFonts w:hint="eastAsia"/>
          <w:shd w:val="clear" w:color="auto" w:fill="auto"/>
        </w:rPr>
        <w:t>对列入国家天然林保护、长江防护林、退耕还林、水土保持等重点生态工程范围内的公益林，坡度在4</w:t>
      </w:r>
      <w:r>
        <w:rPr>
          <w:shd w:val="clear" w:color="auto" w:fill="auto"/>
        </w:rPr>
        <w:t>6</w:t>
      </w:r>
      <w:r>
        <w:rPr>
          <w:rFonts w:hint="eastAsia"/>
          <w:shd w:val="clear" w:color="auto" w:fill="auto"/>
        </w:rPr>
        <w:t>度以上的有林地，旬乾支脉、旬月支脉两侧各5</w:t>
      </w:r>
      <w:r>
        <w:rPr>
          <w:shd w:val="clear" w:color="auto" w:fill="auto"/>
        </w:rPr>
        <w:t>00米以内的有林地</w:t>
      </w:r>
      <w:r>
        <w:rPr>
          <w:rFonts w:hint="eastAsia"/>
          <w:shd w:val="clear" w:color="auto" w:fill="auto"/>
        </w:rPr>
        <w:t>，郁闭度＜0.4的低质低效林地，分布有重点保护树种的地块以及人工造林难度大、且有一定数量母树分布的无林地实施封山育林与禁牧。县林业行政主管部门应当加强对封山育林、禁牧区的管理，在封山育林、禁牧区域设置界桩、围栏和标牌。加强封育管护，配备专业护林人员，对管护困难的封育区要在山口、沟口及交通要塞设立卡哨、围栏。到2</w:t>
      </w:r>
      <w:r>
        <w:rPr>
          <w:shd w:val="clear" w:color="auto" w:fill="auto"/>
        </w:rPr>
        <w:t>025年</w:t>
      </w:r>
      <w:r>
        <w:rPr>
          <w:rFonts w:hint="eastAsia"/>
          <w:shd w:val="clear" w:color="auto" w:fill="auto"/>
        </w:rPr>
        <w:t>，</w:t>
      </w:r>
      <w:r>
        <w:rPr>
          <w:shd w:val="clear" w:color="auto" w:fill="auto"/>
        </w:rPr>
        <w:t>在永乐</w:t>
      </w:r>
      <w:r>
        <w:rPr>
          <w:rFonts w:hint="eastAsia"/>
          <w:shd w:val="clear" w:color="auto" w:fill="auto"/>
        </w:rPr>
        <w:t>、</w:t>
      </w:r>
      <w:r>
        <w:rPr>
          <w:shd w:val="clear" w:color="auto" w:fill="auto"/>
        </w:rPr>
        <w:t>西口</w:t>
      </w:r>
      <w:r>
        <w:rPr>
          <w:rFonts w:hint="eastAsia"/>
          <w:shd w:val="clear" w:color="auto" w:fill="auto"/>
        </w:rPr>
        <w:t>、</w:t>
      </w:r>
      <w:r>
        <w:rPr>
          <w:shd w:val="clear" w:color="auto" w:fill="auto"/>
        </w:rPr>
        <w:t>茅坪</w:t>
      </w:r>
      <w:r>
        <w:rPr>
          <w:rFonts w:hint="eastAsia"/>
          <w:shd w:val="clear" w:color="auto" w:fill="auto"/>
        </w:rPr>
        <w:t>、</w:t>
      </w:r>
      <w:r>
        <w:rPr>
          <w:shd w:val="clear" w:color="auto" w:fill="auto"/>
        </w:rPr>
        <w:t>铁厂</w:t>
      </w:r>
      <w:r>
        <w:rPr>
          <w:rFonts w:hint="eastAsia"/>
          <w:shd w:val="clear" w:color="auto" w:fill="auto"/>
        </w:rPr>
        <w:t>、</w:t>
      </w:r>
      <w:r>
        <w:rPr>
          <w:shd w:val="clear" w:color="auto" w:fill="auto"/>
        </w:rPr>
        <w:t>米粮等重点镇（办）完成封山育林与禁牧</w:t>
      </w:r>
      <w:r>
        <w:rPr>
          <w:rFonts w:hint="eastAsia"/>
          <w:shd w:val="clear" w:color="auto" w:fill="auto"/>
        </w:rPr>
        <w:t>8万亩。</w:t>
      </w:r>
    </w:p>
    <w:p w14:paraId="05597083">
      <w:pPr>
        <w:pStyle w:val="29"/>
        <w:spacing w:before="156" w:after="156"/>
        <w:ind w:firstLine="643"/>
        <w:rPr>
          <w:shd w:val="clear" w:color="auto" w:fill="auto"/>
        </w:rPr>
      </w:pPr>
      <w:r>
        <w:rPr>
          <w:rFonts w:hint="eastAsia"/>
          <w:shd w:val="clear" w:color="auto" w:fill="auto"/>
        </w:rPr>
        <w:t>（二）严守管控原则</w:t>
      </w:r>
    </w:p>
    <w:p w14:paraId="533DFE3F">
      <w:pPr>
        <w:pStyle w:val="22"/>
        <w:ind w:firstLine="640"/>
        <w:rPr>
          <w:shd w:val="clear" w:color="auto" w:fill="auto"/>
        </w:rPr>
      </w:pPr>
      <w:r>
        <w:rPr>
          <w:rFonts w:hint="eastAsia"/>
          <w:shd w:val="clear" w:color="auto" w:fill="auto"/>
        </w:rPr>
        <w:t>严禁对列入国家天然林保护工程范围内的天然林进行商业性采伐，禁止采伐坡度在4</w:t>
      </w:r>
      <w:r>
        <w:rPr>
          <w:shd w:val="clear" w:color="auto" w:fill="auto"/>
        </w:rPr>
        <w:t>6</w:t>
      </w:r>
      <w:r>
        <w:rPr>
          <w:rFonts w:hint="eastAsia"/>
          <w:shd w:val="clear" w:color="auto" w:fill="auto"/>
        </w:rPr>
        <w:t>度以上及旬乾支脉、旬月支脉两侧各500米以内的森林，陕西鹰嘴石省级自然保护区的林木禁止采伐，国家和省人民政府划定的公益林只能进行抚育和更新性质的采伐，因科学研究、林业有害生物防治、森林防火、抢险救灾需要采伐的除外。商品林采伐应当严格控制皆伐面积，按照国家有关采伐限额的规定执行。封山育林、禁牧区域内禁止开垦、采石、采砂、取土；禁止采脂、割漆、剥皮、挖根及其他毁林行为；禁止放养牛、羊等食草动物，禁止损坏、擅自移动界桩、围栏和标牌；以及法律、法规禁止的其他行为。</w:t>
      </w:r>
    </w:p>
    <w:p w14:paraId="0C4F9A9F">
      <w:pPr>
        <w:pStyle w:val="22"/>
        <w:ind w:firstLine="643"/>
        <w:rPr>
          <w:b/>
          <w:shd w:val="clear" w:color="auto" w:fill="auto"/>
        </w:rPr>
      </w:pPr>
      <w:r>
        <w:rPr>
          <w:rFonts w:hint="eastAsia"/>
          <w:b/>
          <w:shd w:val="clear" w:color="auto" w:fill="auto"/>
        </w:rPr>
        <w:t>牵头单位：县林业局；</w:t>
      </w:r>
      <w:r>
        <w:rPr>
          <w:b/>
          <w:shd w:val="clear" w:color="auto" w:fill="auto"/>
        </w:rPr>
        <w:t>配合单位</w:t>
      </w:r>
      <w:r>
        <w:rPr>
          <w:rFonts w:hint="eastAsia"/>
          <w:b/>
          <w:shd w:val="clear" w:color="auto" w:fill="auto"/>
        </w:rPr>
        <w:t>：县农业农村局、县公安局、各镇办、各林场</w:t>
      </w:r>
    </w:p>
    <w:p w14:paraId="64EB702B">
      <w:pPr>
        <w:pStyle w:val="32"/>
        <w:spacing w:before="156" w:after="156"/>
        <w:ind w:firstLine="640"/>
        <w:rPr>
          <w:shd w:val="clear" w:color="auto" w:fill="auto"/>
        </w:rPr>
      </w:pPr>
      <w:bookmarkStart w:id="21" w:name="_Toc59298939"/>
      <w:r>
        <w:rPr>
          <w:rFonts w:hint="eastAsia"/>
          <w:shd w:val="clear" w:color="auto" w:fill="auto"/>
        </w:rPr>
        <w:t>二、开展营林造林重点工作</w:t>
      </w:r>
      <w:bookmarkEnd w:id="21"/>
    </w:p>
    <w:p w14:paraId="373B1A7B">
      <w:pPr>
        <w:pStyle w:val="29"/>
        <w:spacing w:before="156" w:after="156"/>
        <w:ind w:firstLine="643"/>
        <w:rPr>
          <w:shd w:val="clear" w:color="auto" w:fill="auto"/>
        </w:rPr>
      </w:pPr>
      <w:r>
        <w:rPr>
          <w:rFonts w:hint="eastAsia"/>
          <w:shd w:val="clear" w:color="auto" w:fill="auto"/>
        </w:rPr>
        <w:t>（一）明确实施范围</w:t>
      </w:r>
    </w:p>
    <w:p w14:paraId="7173B9FF">
      <w:pPr>
        <w:pStyle w:val="22"/>
        <w:ind w:firstLine="640"/>
        <w:rPr>
          <w:shd w:val="clear" w:color="auto" w:fill="auto"/>
        </w:rPr>
      </w:pPr>
      <w:r>
        <w:rPr>
          <w:rFonts w:hint="eastAsia"/>
          <w:shd w:val="clear" w:color="auto" w:fill="auto"/>
        </w:rPr>
        <w:t>对海拔2000米以下宜林的疏林地、海拔1800米以下集中连片且人工造林有难度的宜林荒山荒地和灌丛地、不具备封山条件的疏林地，实施飞播造林。在低山丘陵区域，通过实施天然林保护、退耕还林、长江防护林等林业重点工程，建设集中连片的人工林，实现“见缝插绿”。在生态脆弱区、退化区，坚持封、造、退、抚并举，分类实施生态修复。对区域内郁闭度≥0</w:t>
      </w:r>
      <w:r>
        <w:rPr>
          <w:shd w:val="clear" w:color="auto" w:fill="auto"/>
        </w:rPr>
        <w:t>.4</w:t>
      </w:r>
      <w:r>
        <w:rPr>
          <w:rFonts w:hint="eastAsia"/>
          <w:shd w:val="clear" w:color="auto" w:fill="auto"/>
        </w:rPr>
        <w:t>的有林地、未成林造林地（包括未成林封育地）、覆盖率较大的灌木林地，实施人工管护。通过人工林集约栽培、现有林改培、抚育及补植补造等措施，营造工业原料林、珍稀树种和大径材等优质高效多功能森林，逐步建设国家储备林。</w:t>
      </w:r>
    </w:p>
    <w:p w14:paraId="4294C315">
      <w:pPr>
        <w:pStyle w:val="29"/>
        <w:spacing w:before="156" w:after="156"/>
        <w:ind w:firstLine="643"/>
        <w:rPr>
          <w:shd w:val="clear" w:color="auto" w:fill="auto"/>
        </w:rPr>
      </w:pPr>
      <w:r>
        <w:rPr>
          <w:rFonts w:hint="eastAsia"/>
          <w:shd w:val="clear" w:color="auto" w:fill="auto"/>
        </w:rPr>
        <w:t>（二）加强城乡绿化</w:t>
      </w:r>
    </w:p>
    <w:p w14:paraId="6E7A2794">
      <w:pPr>
        <w:pStyle w:val="22"/>
        <w:ind w:firstLine="640"/>
      </w:pPr>
      <w:r>
        <w:rPr>
          <w:rFonts w:hint="eastAsia"/>
        </w:rPr>
        <w:t>做好“两岸三线四区”重点区域增绿工作，加快旬河、乾佑河等流域两岸直观坡面绿化，建设护岸林，合理搭配树种，提升绿化美化效果。加强城镇、景点、高速公路出入口等关键节点及国道、省道、乡村公路交通沿线、产业园区绿化，合理配置乡土树种和园林绿化树种栽植比重，形成大面积的绿色生态保护空间和连接各个生态空间的绿色廊道。充分利用村庄现有绿化成果，因地制宜开展环村林、护路林、护岸林、风景林等建设，增加乡村生态绿量。</w:t>
      </w:r>
      <w:r>
        <w:t>到</w:t>
      </w:r>
      <w:r>
        <w:rPr>
          <w:rFonts w:hint="eastAsia"/>
        </w:rPr>
        <w:t>2</w:t>
      </w:r>
      <w:r>
        <w:t>025年</w:t>
      </w:r>
      <w:r>
        <w:rPr>
          <w:rFonts w:hint="eastAsia"/>
        </w:rPr>
        <w:t>，</w:t>
      </w:r>
      <w:r>
        <w:t>在永乐</w:t>
      </w:r>
      <w:r>
        <w:rPr>
          <w:rFonts w:hint="eastAsia"/>
        </w:rPr>
        <w:t>、</w:t>
      </w:r>
      <w:r>
        <w:t>云镇</w:t>
      </w:r>
      <w:r>
        <w:rPr>
          <w:rFonts w:hint="eastAsia"/>
        </w:rPr>
        <w:t>、</w:t>
      </w:r>
      <w:r>
        <w:t>青铜关</w:t>
      </w:r>
      <w:r>
        <w:rPr>
          <w:rFonts w:hint="eastAsia"/>
        </w:rPr>
        <w:t>、</w:t>
      </w:r>
      <w:r>
        <w:t>大坪等重点镇完成造林绿化</w:t>
      </w:r>
      <w:r>
        <w:rPr>
          <w:rFonts w:hint="eastAsia"/>
        </w:rPr>
        <w:t>1</w:t>
      </w:r>
      <w:r>
        <w:t>0.5万亩</w:t>
      </w:r>
      <w:r>
        <w:rPr>
          <w:rFonts w:hint="eastAsia"/>
        </w:rPr>
        <w:t>，</w:t>
      </w:r>
      <w:r>
        <w:t>其中人工造林</w:t>
      </w:r>
      <w:r>
        <w:rPr>
          <w:rFonts w:hint="eastAsia"/>
        </w:rPr>
        <w:t>5</w:t>
      </w:r>
      <w:r>
        <w:t>.5万亩</w:t>
      </w:r>
      <w:r>
        <w:rPr>
          <w:rFonts w:hint="eastAsia"/>
        </w:rPr>
        <w:t>，</w:t>
      </w:r>
      <w:r>
        <w:t>飞播造林</w:t>
      </w:r>
      <w:r>
        <w:rPr>
          <w:rFonts w:hint="eastAsia"/>
        </w:rPr>
        <w:t>5万亩。</w:t>
      </w:r>
    </w:p>
    <w:p w14:paraId="42EE2947">
      <w:pPr>
        <w:pStyle w:val="22"/>
        <w:ind w:firstLine="643"/>
        <w:rPr>
          <w:b/>
        </w:rPr>
      </w:pPr>
      <w:r>
        <w:rPr>
          <w:rFonts w:hint="eastAsia"/>
          <w:b/>
        </w:rPr>
        <w:t>牵头单位：县林业局；配合单位：各镇办、各林场</w:t>
      </w:r>
    </w:p>
    <w:p w14:paraId="337EE647">
      <w:pPr>
        <w:pStyle w:val="32"/>
        <w:spacing w:before="156" w:after="156"/>
        <w:ind w:firstLine="640"/>
        <w:rPr>
          <w:shd w:val="clear" w:color="auto" w:fill="auto"/>
        </w:rPr>
      </w:pPr>
      <w:bookmarkStart w:id="22" w:name="_Toc59298940"/>
      <w:r>
        <w:rPr>
          <w:rFonts w:hint="eastAsia"/>
          <w:shd w:val="clear" w:color="auto" w:fill="auto"/>
        </w:rPr>
        <w:t>三、加强天然林保护</w:t>
      </w:r>
      <w:bookmarkEnd w:id="22"/>
    </w:p>
    <w:p w14:paraId="23A705D3">
      <w:pPr>
        <w:pStyle w:val="22"/>
        <w:ind w:firstLine="640"/>
        <w:rPr>
          <w:shd w:val="clear" w:color="auto" w:fill="auto"/>
        </w:rPr>
      </w:pPr>
      <w:r>
        <w:rPr>
          <w:rFonts w:hint="eastAsia"/>
          <w:shd w:val="clear" w:color="auto" w:fill="auto"/>
        </w:rPr>
        <w:t>建立天然林休养生息制度，对纳入保护重点区域的天然林，除森林病虫害防治、森林防火等维护天然林生态系统健康的必要措施外，禁止其他一切生产经营活动。严格控制天然林地转为其他用途，除国防建设、国家重大工程项目建设特殊需要外，禁止占用核心保护区及重点保护区的天然林地。对于稀疏退化的天然林，开展人工促进、天然更新等措施，加快森林正向演替。强化天然中幼林抚育，调整林木竞争关系。探索通过森林认证、碳汇交易等方式，多渠道筹措天然林保护修复资金。在不破坏地表植被、不影响生物多样性前提下，可在天然林地适度发展生态旅游、休闲康养等产业，大力推广林药、林菌、林禽、林蜂及特色种养殖等林下复合经营模式。</w:t>
      </w:r>
    </w:p>
    <w:p w14:paraId="53C3CDDB">
      <w:pPr>
        <w:pStyle w:val="22"/>
        <w:ind w:firstLine="643"/>
        <w:rPr>
          <w:b/>
          <w:shd w:val="clear" w:color="auto" w:fill="auto"/>
        </w:rPr>
      </w:pPr>
      <w:r>
        <w:rPr>
          <w:rFonts w:hint="eastAsia"/>
          <w:b/>
          <w:shd w:val="clear" w:color="auto" w:fill="auto"/>
        </w:rPr>
        <w:t>牵头单位：县林业局；</w:t>
      </w:r>
      <w:r>
        <w:rPr>
          <w:b/>
          <w:shd w:val="clear" w:color="auto" w:fill="auto"/>
        </w:rPr>
        <w:t>配合单位</w:t>
      </w:r>
      <w:r>
        <w:rPr>
          <w:rFonts w:hint="eastAsia"/>
          <w:b/>
          <w:shd w:val="clear" w:color="auto" w:fill="auto"/>
        </w:rPr>
        <w:t>：县应急局、县发改局、县农业农村局、各镇办、各林场</w:t>
      </w:r>
    </w:p>
    <w:p w14:paraId="247D5A04">
      <w:pPr>
        <w:pStyle w:val="22"/>
        <w:ind w:firstLine="643"/>
        <w:rPr>
          <w:b/>
          <w:shd w:val="clear" w:color="auto" w:fill="auto"/>
        </w:rPr>
      </w:pPr>
    </w:p>
    <w:p w14:paraId="6682CAF7">
      <w:pPr>
        <w:pStyle w:val="32"/>
        <w:spacing w:before="156" w:after="156"/>
        <w:ind w:firstLine="640"/>
        <w:rPr>
          <w:shd w:val="clear" w:color="auto" w:fill="auto"/>
        </w:rPr>
      </w:pPr>
      <w:bookmarkStart w:id="23" w:name="_Toc59298941"/>
      <w:r>
        <w:rPr>
          <w:rFonts w:hint="eastAsia"/>
          <w:shd w:val="clear" w:color="auto" w:fill="auto"/>
        </w:rPr>
        <w:t>四、持续开展退耕还林还草</w:t>
      </w:r>
      <w:bookmarkEnd w:id="23"/>
    </w:p>
    <w:p w14:paraId="4591C483">
      <w:pPr>
        <w:pStyle w:val="29"/>
        <w:spacing w:before="156" w:after="156"/>
        <w:ind w:firstLine="643"/>
        <w:rPr>
          <w:shd w:val="clear" w:color="auto" w:fill="auto"/>
        </w:rPr>
      </w:pPr>
      <w:r>
        <w:rPr>
          <w:rFonts w:hint="eastAsia"/>
          <w:shd w:val="clear" w:color="auto" w:fill="auto"/>
        </w:rPr>
        <w:t>（一）严守退耕还林还草工作要求</w:t>
      </w:r>
    </w:p>
    <w:p w14:paraId="0A782361">
      <w:pPr>
        <w:pStyle w:val="22"/>
        <w:ind w:firstLine="640"/>
        <w:rPr>
          <w:shd w:val="clear" w:color="auto" w:fill="auto"/>
        </w:rPr>
      </w:pPr>
      <w:r>
        <w:rPr>
          <w:rFonts w:hint="eastAsia"/>
          <w:shd w:val="clear" w:color="auto" w:fill="auto"/>
        </w:rPr>
        <w:t>禁止在秦岭范围2</w:t>
      </w:r>
      <w:r>
        <w:rPr>
          <w:shd w:val="clear" w:color="auto" w:fill="auto"/>
        </w:rPr>
        <w:t>5</w:t>
      </w:r>
      <w:r>
        <w:rPr>
          <w:rFonts w:hint="eastAsia"/>
          <w:shd w:val="clear" w:color="auto" w:fill="auto"/>
        </w:rPr>
        <w:t>度以上陡坡地开垦种植农作物，鼓励在秦岭25度以下的坡耕地进行退耕还林还草，形成新的生态空间，从源头上减少水土流失，保护植被，增加森林碳汇。已在禁垦的陡坡地范围内开垦种植农作物的，由县人民政府制定退耕还林还草计划，采用经济补贴、政策激励等措施，组织农村土地承包经营权人退耕还林还草，确保农民利益不受损。退耕还林还草后，由县自然资源行政主管部门会同林业、农业农村行政主管部门依法对土地用途和权属登记予以变更。退耕还林还草范围由县人民政府划定并公告。禁止在项目实施范围内复耕和从事滥采、乱挖等破坏地表植被的活动。</w:t>
      </w:r>
    </w:p>
    <w:p w14:paraId="04003D99">
      <w:pPr>
        <w:pStyle w:val="29"/>
        <w:spacing w:before="156" w:after="156"/>
        <w:ind w:firstLine="643"/>
        <w:rPr>
          <w:shd w:val="clear" w:color="auto" w:fill="auto"/>
        </w:rPr>
      </w:pPr>
      <w:r>
        <w:rPr>
          <w:rFonts w:hint="eastAsia"/>
          <w:shd w:val="clear" w:color="auto" w:fill="auto"/>
        </w:rPr>
        <w:t>（二）推进退耕还林还草高质量发展</w:t>
      </w:r>
    </w:p>
    <w:p w14:paraId="07BA13C6">
      <w:pPr>
        <w:pStyle w:val="22"/>
        <w:ind w:firstLine="640"/>
        <w:rPr>
          <w:shd w:val="clear" w:color="auto" w:fill="auto"/>
        </w:rPr>
      </w:pPr>
      <w:r>
        <w:rPr>
          <w:rFonts w:hint="eastAsia"/>
          <w:shd w:val="clear" w:color="auto" w:fill="auto"/>
        </w:rPr>
        <w:t>以高质量发展为主题，以提升综合效益为目标，推动退耕还林还草从大规模扩张向高质量发展转变。深入开展退耕还林成果巩固及退化林分修复工作，鼓励推广应用新技术、新品种、新模式，实行科学造林。支持采取转包、转让、互换、出租、入股等形式，将退耕还林还草地向专业大户、家庭林场、龙头企业、专业合作社、股份制林场等新型经营主体流转，发展适度规模经营。</w:t>
      </w:r>
    </w:p>
    <w:p w14:paraId="08954D3A">
      <w:pPr>
        <w:pStyle w:val="22"/>
        <w:ind w:firstLine="643"/>
        <w:rPr>
          <w:b/>
          <w:shd w:val="clear" w:color="auto" w:fill="auto"/>
        </w:rPr>
      </w:pPr>
      <w:r>
        <w:rPr>
          <w:rFonts w:hint="eastAsia"/>
          <w:b/>
          <w:shd w:val="clear" w:color="auto" w:fill="auto"/>
        </w:rPr>
        <w:t>牵头单位：县林业局；</w:t>
      </w:r>
      <w:r>
        <w:rPr>
          <w:b/>
          <w:shd w:val="clear" w:color="auto" w:fill="auto"/>
        </w:rPr>
        <w:t>配合单位</w:t>
      </w:r>
      <w:r>
        <w:rPr>
          <w:rFonts w:hint="eastAsia"/>
          <w:b/>
          <w:shd w:val="clear" w:color="auto" w:fill="auto"/>
        </w:rPr>
        <w:t>：县资源局、县农业农村局、各镇办、各林场</w:t>
      </w:r>
    </w:p>
    <w:p w14:paraId="4DB3302F">
      <w:pPr>
        <w:pStyle w:val="32"/>
        <w:spacing w:before="156" w:after="156"/>
        <w:ind w:firstLine="640"/>
        <w:rPr>
          <w:shd w:val="clear" w:color="auto" w:fill="auto"/>
        </w:rPr>
      </w:pPr>
      <w:bookmarkStart w:id="24" w:name="_Toc59298942"/>
      <w:r>
        <w:rPr>
          <w:rFonts w:hint="eastAsia"/>
          <w:shd w:val="clear" w:color="auto" w:fill="auto"/>
        </w:rPr>
        <w:t>五、提升</w:t>
      </w:r>
      <w:r>
        <w:rPr>
          <w:shd w:val="clear" w:color="auto" w:fill="auto"/>
        </w:rPr>
        <w:t>森林资源管护能力</w:t>
      </w:r>
      <w:bookmarkEnd w:id="24"/>
    </w:p>
    <w:p w14:paraId="3C69328B">
      <w:pPr>
        <w:pStyle w:val="29"/>
        <w:spacing w:before="156" w:after="156"/>
        <w:ind w:firstLine="643"/>
        <w:rPr>
          <w:shd w:val="clear" w:color="auto" w:fill="auto"/>
        </w:rPr>
      </w:pPr>
      <w:r>
        <w:rPr>
          <w:rFonts w:hint="eastAsia"/>
          <w:shd w:val="clear" w:color="auto" w:fill="auto"/>
        </w:rPr>
        <w:t>（一）提升管护基础能力</w:t>
      </w:r>
    </w:p>
    <w:p w14:paraId="2AC4DF32">
      <w:pPr>
        <w:pStyle w:val="22"/>
        <w:ind w:firstLine="640"/>
        <w:rPr>
          <w:shd w:val="clear" w:color="auto" w:fill="auto"/>
        </w:rPr>
      </w:pPr>
      <w:r>
        <w:rPr>
          <w:rFonts w:hint="eastAsia"/>
          <w:shd w:val="clear" w:color="auto" w:fill="auto"/>
        </w:rPr>
        <w:t>做好森林资源“一张图”更新工作，为强化林地监管和合理开发、利用林地资源提供重要依据。建立森林资源监控平台、重点山区电子</w:t>
      </w:r>
      <w:r>
        <w:rPr>
          <w:rFonts w:ascii="仿宋" w:hAnsi="仿宋" w:eastAsia="仿宋" w:cs="Times New Roman"/>
          <w:shd w:val="clear" w:color="auto" w:fill="auto"/>
        </w:rPr>
        <w:t>瞭</w:t>
      </w:r>
      <w:r>
        <w:rPr>
          <w:rFonts w:hint="eastAsia" w:ascii="仿宋_GB2312" w:hAnsi="仿宋_GB2312" w:cs="仿宋_GB2312"/>
          <w:shd w:val="clear" w:color="auto" w:fill="auto"/>
        </w:rPr>
        <w:t>望塔等监控设备，提升森林资源管护能力。</w:t>
      </w:r>
      <w:r>
        <w:rPr>
          <w:rFonts w:hint="eastAsia"/>
          <w:shd w:val="clear" w:color="auto" w:fill="auto"/>
        </w:rPr>
        <w:t>积极争取上级配套资金，实施管护站标准化建设、水电暖改造、道路硬化、站内绿化彩化等工程，不断改善专职管护员生产生活条件，进一步增强管护站功能。加强生态护林员日常管理，及时按月发放工资，规范档案资料，深入开展生态护林员“三个一”活动（学一门技术、发展一亩经济林园、户均增收一万元），强化生态护林员技能培训。</w:t>
      </w:r>
    </w:p>
    <w:p w14:paraId="5DB3480B">
      <w:pPr>
        <w:pStyle w:val="29"/>
        <w:spacing w:before="156" w:after="156"/>
        <w:ind w:firstLine="643"/>
        <w:rPr>
          <w:shd w:val="clear" w:color="auto" w:fill="auto"/>
        </w:rPr>
      </w:pPr>
      <w:r>
        <w:rPr>
          <w:rFonts w:hint="eastAsia"/>
          <w:shd w:val="clear" w:color="auto" w:fill="auto"/>
        </w:rPr>
        <w:t>（二）加强森林火灾预防管理</w:t>
      </w:r>
    </w:p>
    <w:p w14:paraId="41DFC7C1">
      <w:pPr>
        <w:pStyle w:val="22"/>
        <w:ind w:firstLine="640"/>
        <w:rPr>
          <w:shd w:val="clear" w:color="auto" w:fill="auto"/>
        </w:rPr>
      </w:pPr>
      <w:r>
        <w:rPr>
          <w:rFonts w:hint="eastAsia"/>
          <w:shd w:val="clear" w:color="auto" w:fill="auto"/>
        </w:rPr>
        <w:t>加强镇（办）森林防火半专业扑火队伍建设，添置防火物资储备。加强扑火队伍的专业技能和安全知识培训、演练，一旦发生森林火灾，要及时疏散、撤离受火灾威胁的群众，坚决避免人员伤亡事故发生。加大政府对森林防火经费的投入，用于森林防火安全宣传教育培训、扑火队伍建设、扑火设备购置、防火道路建设等。印制森林防火知识手册和宣传单，及时发放到群众手中，做到精准宣传。在森林防火期，严格执行带值班制度。</w:t>
      </w:r>
      <w:r>
        <w:rPr>
          <w:shd w:val="clear" w:color="auto" w:fill="auto"/>
        </w:rPr>
        <w:t>到</w:t>
      </w:r>
      <w:r>
        <w:rPr>
          <w:rFonts w:hint="eastAsia"/>
          <w:shd w:val="clear" w:color="auto" w:fill="auto"/>
        </w:rPr>
        <w:t>2</w:t>
      </w:r>
      <w:r>
        <w:rPr>
          <w:shd w:val="clear" w:color="auto" w:fill="auto"/>
        </w:rPr>
        <w:t>025年</w:t>
      </w:r>
      <w:r>
        <w:rPr>
          <w:rFonts w:hint="eastAsia"/>
          <w:shd w:val="clear" w:color="auto" w:fill="auto"/>
        </w:rPr>
        <w:t>，</w:t>
      </w:r>
      <w:r>
        <w:rPr>
          <w:shd w:val="clear" w:color="auto" w:fill="auto"/>
        </w:rPr>
        <w:t>全县</w:t>
      </w:r>
      <w:r>
        <w:rPr>
          <w:rFonts w:hint="eastAsia"/>
          <w:shd w:val="clear" w:color="auto" w:fill="auto"/>
        </w:rPr>
        <w:t>森林火灾受害率控制</w:t>
      </w:r>
      <w:r>
        <w:rPr>
          <w:rFonts w:cs="Times New Roman"/>
          <w:shd w:val="clear" w:color="auto" w:fill="auto"/>
        </w:rPr>
        <w:t>在0.2‰以内。</w:t>
      </w:r>
    </w:p>
    <w:p w14:paraId="40FF1752">
      <w:pPr>
        <w:pStyle w:val="29"/>
        <w:spacing w:before="156" w:after="156"/>
        <w:ind w:firstLine="643"/>
        <w:rPr>
          <w:shd w:val="clear" w:color="auto" w:fill="auto"/>
        </w:rPr>
      </w:pPr>
      <w:r>
        <w:rPr>
          <w:rFonts w:hint="eastAsia"/>
          <w:shd w:val="clear" w:color="auto" w:fill="auto"/>
        </w:rPr>
        <w:t>（三）</w:t>
      </w:r>
      <w:r>
        <w:rPr>
          <w:shd w:val="clear" w:color="auto" w:fill="auto"/>
        </w:rPr>
        <w:t>加大林业有害生物防治</w:t>
      </w:r>
    </w:p>
    <w:p w14:paraId="152E8753">
      <w:pPr>
        <w:pStyle w:val="22"/>
        <w:ind w:firstLine="640"/>
        <w:rPr>
          <w:rFonts w:cs="Times New Roman"/>
          <w:shd w:val="clear" w:color="auto" w:fill="auto"/>
        </w:rPr>
      </w:pPr>
      <w:r>
        <w:rPr>
          <w:rFonts w:hint="eastAsia"/>
          <w:shd w:val="clear" w:color="auto" w:fill="auto"/>
        </w:rPr>
        <w:t>定期开展春秋两季松材线虫病普查，形成普查分析报告，将全县区划为松材线虫病除治区、预防区和成效巩固区三个区域类型，全面掌握松材线虫发生情况。推动各镇（办）、各林场成立松材线虫病防控指挥所，按照政府负责、专业队实施的方式，因地制宜，分区施策。加强松材线虫病检疫检查站建设，增强检查队伍建设。积极开展防疫联合执法专项行动，每年3月和10月各开展一次松材线虫病检疫执法专项行动，确保全县境内无疫木交叉感染。到2</w:t>
      </w:r>
      <w:r>
        <w:rPr>
          <w:shd w:val="clear" w:color="auto" w:fill="auto"/>
        </w:rPr>
        <w:t>025年</w:t>
      </w:r>
      <w:r>
        <w:rPr>
          <w:rFonts w:hint="eastAsia"/>
          <w:shd w:val="clear" w:color="auto" w:fill="auto"/>
        </w:rPr>
        <w:t>，全县有害生物成灾率低于4.</w:t>
      </w:r>
      <w:r>
        <w:rPr>
          <w:rFonts w:cs="Times New Roman"/>
          <w:shd w:val="clear" w:color="auto" w:fill="auto"/>
        </w:rPr>
        <w:t>5‰</w:t>
      </w:r>
      <w:r>
        <w:rPr>
          <w:rFonts w:hint="eastAsia" w:cs="Times New Roman"/>
          <w:shd w:val="clear" w:color="auto" w:fill="auto"/>
        </w:rPr>
        <w:t>。</w:t>
      </w:r>
    </w:p>
    <w:p w14:paraId="350A2929">
      <w:pPr>
        <w:pStyle w:val="22"/>
        <w:ind w:firstLine="643"/>
        <w:rPr>
          <w:b/>
          <w:shd w:val="clear" w:color="auto" w:fill="auto"/>
        </w:rPr>
      </w:pPr>
      <w:r>
        <w:rPr>
          <w:rFonts w:hint="eastAsia"/>
          <w:b/>
          <w:shd w:val="clear" w:color="auto" w:fill="auto"/>
        </w:rPr>
        <w:t>牵头单位：县林业局；</w:t>
      </w:r>
      <w:r>
        <w:rPr>
          <w:b/>
          <w:shd w:val="clear" w:color="auto" w:fill="auto"/>
        </w:rPr>
        <w:t>配合单位</w:t>
      </w:r>
      <w:r>
        <w:rPr>
          <w:rFonts w:hint="eastAsia"/>
          <w:b/>
          <w:shd w:val="clear" w:color="auto" w:fill="auto"/>
        </w:rPr>
        <w:t>：县应急局、县公安局、县消防大队、各镇办、各林场</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7C4A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61D9D199">
            <w:pPr>
              <w:pStyle w:val="36"/>
              <w:rPr>
                <w:shd w:val="clear" w:color="auto" w:fill="auto"/>
              </w:rPr>
            </w:pPr>
            <w:r>
              <w:rPr>
                <w:rFonts w:hint="eastAsia"/>
                <w:shd w:val="clear" w:color="auto" w:fill="auto"/>
              </w:rPr>
              <w:t xml:space="preserve">专栏 </w:t>
            </w:r>
            <w:r>
              <w:rPr>
                <w:shd w:val="clear" w:color="auto" w:fill="auto"/>
              </w:rPr>
              <w:t>7 镇安秦岭</w:t>
            </w:r>
            <w:r>
              <w:rPr>
                <w:rFonts w:hint="eastAsia"/>
                <w:shd w:val="clear" w:color="auto" w:fill="auto"/>
              </w:rPr>
              <w:t>范围林业生态建设重点工程</w:t>
            </w:r>
          </w:p>
        </w:tc>
      </w:tr>
      <w:tr w14:paraId="29E6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3730901C">
            <w:pPr>
              <w:pStyle w:val="34"/>
              <w:ind w:firstLine="482" w:firstLineChars="200"/>
              <w:jc w:val="both"/>
              <w:rPr>
                <w:shd w:val="clear" w:color="auto" w:fill="auto"/>
              </w:rPr>
            </w:pPr>
            <w:r>
              <w:rPr>
                <w:rFonts w:hint="eastAsia"/>
                <w:b/>
                <w:shd w:val="clear" w:color="auto" w:fill="auto"/>
              </w:rPr>
              <w:t>1</w:t>
            </w:r>
            <w:r>
              <w:rPr>
                <w:b/>
                <w:shd w:val="clear" w:color="auto" w:fill="auto"/>
              </w:rPr>
              <w:t>. 封山育林与禁牧工程</w:t>
            </w:r>
            <w:r>
              <w:rPr>
                <w:rFonts w:hint="eastAsia"/>
                <w:b/>
                <w:shd w:val="clear" w:color="auto" w:fill="auto"/>
              </w:rPr>
              <w:t>：</w:t>
            </w:r>
            <w:r>
              <w:rPr>
                <w:rFonts w:hint="eastAsia"/>
                <w:shd w:val="clear" w:color="auto" w:fill="auto"/>
              </w:rPr>
              <w:t>到2025年，在永乐、西口、茅坪、铁厂、米粮等重点镇实施封山育林与禁牧工程，完成封山育林与禁牧8万亩。</w:t>
            </w:r>
          </w:p>
          <w:p w14:paraId="19DF7CD2">
            <w:pPr>
              <w:pStyle w:val="34"/>
              <w:ind w:firstLine="482" w:firstLineChars="200"/>
              <w:jc w:val="both"/>
              <w:rPr>
                <w:shd w:val="clear" w:color="auto" w:fill="auto"/>
              </w:rPr>
            </w:pPr>
            <w:r>
              <w:rPr>
                <w:rFonts w:hint="eastAsia"/>
                <w:b/>
                <w:shd w:val="clear" w:color="auto" w:fill="auto"/>
              </w:rPr>
              <w:t>2</w:t>
            </w:r>
            <w:r>
              <w:rPr>
                <w:b/>
                <w:shd w:val="clear" w:color="auto" w:fill="auto"/>
              </w:rPr>
              <w:t>. 造林绿化重点工程</w:t>
            </w:r>
            <w:r>
              <w:rPr>
                <w:rFonts w:hint="eastAsia"/>
                <w:b/>
                <w:shd w:val="clear" w:color="auto" w:fill="auto"/>
              </w:rPr>
              <w:t>：</w:t>
            </w:r>
            <w:r>
              <w:rPr>
                <w:rFonts w:hint="eastAsia"/>
                <w:shd w:val="clear" w:color="auto" w:fill="auto"/>
              </w:rPr>
              <w:t>到2025年，在永乐、云镇、青铜关、大坪等重点镇完成造林绿化10.5万亩，其中人工造林5.5万亩，飞播造林5万亩。</w:t>
            </w:r>
          </w:p>
          <w:p w14:paraId="75D36055">
            <w:pPr>
              <w:pStyle w:val="34"/>
              <w:ind w:firstLine="482" w:firstLineChars="200"/>
              <w:jc w:val="both"/>
              <w:rPr>
                <w:shd w:val="clear" w:color="auto" w:fill="auto"/>
              </w:rPr>
            </w:pPr>
            <w:r>
              <w:rPr>
                <w:rFonts w:hint="eastAsia"/>
                <w:b/>
                <w:shd w:val="clear" w:color="auto" w:fill="auto"/>
              </w:rPr>
              <w:t>3</w:t>
            </w:r>
            <w:r>
              <w:rPr>
                <w:b/>
                <w:shd w:val="clear" w:color="auto" w:fill="auto"/>
              </w:rPr>
              <w:t>. 经济林提质增效工程</w:t>
            </w:r>
            <w:r>
              <w:rPr>
                <w:rFonts w:hint="eastAsia"/>
                <w:b/>
                <w:shd w:val="clear" w:color="auto" w:fill="auto"/>
              </w:rPr>
              <w:t>：</w:t>
            </w:r>
            <w:r>
              <w:rPr>
                <w:shd w:val="clear" w:color="auto" w:fill="auto"/>
              </w:rPr>
              <w:t>到</w:t>
            </w:r>
            <w:r>
              <w:rPr>
                <w:rFonts w:hint="eastAsia"/>
                <w:shd w:val="clear" w:color="auto" w:fill="auto"/>
              </w:rPr>
              <w:t>2</w:t>
            </w:r>
            <w:r>
              <w:rPr>
                <w:shd w:val="clear" w:color="auto" w:fill="auto"/>
              </w:rPr>
              <w:t>025年</w:t>
            </w:r>
            <w:r>
              <w:rPr>
                <w:rFonts w:hint="eastAsia"/>
                <w:shd w:val="clear" w:color="auto" w:fill="auto"/>
              </w:rPr>
              <w:t>，</w:t>
            </w:r>
            <w:r>
              <w:rPr>
                <w:shd w:val="clear" w:color="auto" w:fill="auto"/>
              </w:rPr>
              <w:t>完成板栗嫁接改造</w:t>
            </w:r>
            <w:r>
              <w:rPr>
                <w:rFonts w:hint="eastAsia"/>
                <w:shd w:val="clear" w:color="auto" w:fill="auto"/>
              </w:rPr>
              <w:t>1</w:t>
            </w:r>
            <w:r>
              <w:rPr>
                <w:shd w:val="clear" w:color="auto" w:fill="auto"/>
              </w:rPr>
              <w:t>0.5万亩</w:t>
            </w:r>
            <w:r>
              <w:rPr>
                <w:rFonts w:hint="eastAsia"/>
                <w:shd w:val="clear" w:color="auto" w:fill="auto"/>
              </w:rPr>
              <w:t>、</w:t>
            </w:r>
            <w:r>
              <w:rPr>
                <w:shd w:val="clear" w:color="auto" w:fill="auto"/>
              </w:rPr>
              <w:t>标准化管理</w:t>
            </w:r>
            <w:r>
              <w:rPr>
                <w:rFonts w:hint="eastAsia"/>
                <w:shd w:val="clear" w:color="auto" w:fill="auto"/>
              </w:rPr>
              <w:t>1</w:t>
            </w:r>
            <w:r>
              <w:rPr>
                <w:shd w:val="clear" w:color="auto" w:fill="auto"/>
              </w:rPr>
              <w:t>00万亩</w:t>
            </w:r>
            <w:r>
              <w:rPr>
                <w:rFonts w:hint="eastAsia"/>
                <w:shd w:val="clear" w:color="auto" w:fill="auto"/>
              </w:rPr>
              <w:t>，</w:t>
            </w:r>
            <w:r>
              <w:rPr>
                <w:shd w:val="clear" w:color="auto" w:fill="auto"/>
              </w:rPr>
              <w:t>完成核桃品种提纯</w:t>
            </w:r>
            <w:r>
              <w:rPr>
                <w:rFonts w:hint="eastAsia"/>
                <w:shd w:val="clear" w:color="auto" w:fill="auto"/>
              </w:rPr>
              <w:t>3万亩、标准化管理示范5</w:t>
            </w:r>
            <w:r>
              <w:rPr>
                <w:shd w:val="clear" w:color="auto" w:fill="auto"/>
              </w:rPr>
              <w:t>0万亩</w:t>
            </w:r>
            <w:r>
              <w:rPr>
                <w:rFonts w:hint="eastAsia"/>
                <w:shd w:val="clear" w:color="auto" w:fill="auto"/>
              </w:rPr>
              <w:t>，</w:t>
            </w:r>
            <w:r>
              <w:rPr>
                <w:shd w:val="clear" w:color="auto" w:fill="auto"/>
              </w:rPr>
              <w:t>建设规模化中药材种植示范基地</w:t>
            </w:r>
            <w:r>
              <w:rPr>
                <w:rFonts w:hint="eastAsia"/>
                <w:shd w:val="clear" w:color="auto" w:fill="auto"/>
              </w:rPr>
              <w:t>2</w:t>
            </w:r>
            <w:r>
              <w:rPr>
                <w:shd w:val="clear" w:color="auto" w:fill="auto"/>
              </w:rPr>
              <w:t>0万亩</w:t>
            </w:r>
            <w:r>
              <w:rPr>
                <w:rFonts w:hint="eastAsia"/>
                <w:shd w:val="clear" w:color="auto" w:fill="auto"/>
              </w:rPr>
              <w:t>。</w:t>
            </w:r>
          </w:p>
          <w:p w14:paraId="0D7DB06F">
            <w:pPr>
              <w:pStyle w:val="34"/>
              <w:ind w:firstLine="482" w:firstLineChars="200"/>
              <w:jc w:val="both"/>
              <w:rPr>
                <w:shd w:val="clear" w:color="auto" w:fill="auto"/>
              </w:rPr>
            </w:pPr>
            <w:r>
              <w:rPr>
                <w:rFonts w:hint="eastAsia"/>
                <w:b/>
                <w:shd w:val="clear" w:color="auto" w:fill="auto"/>
              </w:rPr>
              <w:t>4</w:t>
            </w:r>
            <w:r>
              <w:rPr>
                <w:b/>
                <w:shd w:val="clear" w:color="auto" w:fill="auto"/>
              </w:rPr>
              <w:t>. 森林病虫害防治工程</w:t>
            </w:r>
            <w:r>
              <w:rPr>
                <w:rFonts w:hint="eastAsia"/>
                <w:b/>
                <w:shd w:val="clear" w:color="auto" w:fill="auto"/>
              </w:rPr>
              <w:t>：</w:t>
            </w:r>
            <w:r>
              <w:rPr>
                <w:rFonts w:hint="eastAsia"/>
                <w:shd w:val="clear" w:color="auto" w:fill="auto"/>
              </w:rPr>
              <w:t>购置疫情监测、检疫鉴定、灾情除治等仪器设备及疫木的除害处理和安全利用设施建设，不断加强和完善林业有害生物防控的基础设施建设。</w:t>
            </w:r>
          </w:p>
        </w:tc>
      </w:tr>
    </w:tbl>
    <w:p w14:paraId="012AA57F">
      <w:pPr>
        <w:pStyle w:val="22"/>
        <w:ind w:firstLine="640"/>
        <w:rPr>
          <w:shd w:val="clear" w:color="auto" w:fill="auto"/>
        </w:rPr>
      </w:pPr>
    </w:p>
    <w:p w14:paraId="5C1B9C94">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2A52B063">
      <w:pPr>
        <w:pStyle w:val="26"/>
        <w:spacing w:before="312" w:after="312"/>
        <w:rPr>
          <w:shd w:val="clear" w:color="auto" w:fill="auto"/>
        </w:rPr>
      </w:pPr>
      <w:bookmarkStart w:id="25" w:name="_Toc59298943"/>
      <w:r>
        <w:rPr>
          <w:rFonts w:hint="eastAsia"/>
          <w:shd w:val="clear" w:color="auto" w:fill="auto"/>
        </w:rPr>
        <w:t xml:space="preserve">第六章 </w:t>
      </w:r>
      <w:r>
        <w:rPr>
          <w:shd w:val="clear" w:color="auto" w:fill="auto"/>
        </w:rPr>
        <w:t xml:space="preserve"> 深化水土资源保护</w:t>
      </w:r>
      <w:r>
        <w:rPr>
          <w:rFonts w:hint="eastAsia"/>
          <w:shd w:val="clear" w:color="auto" w:fill="auto"/>
        </w:rPr>
        <w:t>，提升水源涵养</w:t>
      </w:r>
      <w:r>
        <w:rPr>
          <w:shd w:val="clear" w:color="auto" w:fill="auto"/>
        </w:rPr>
        <w:t>能力</w:t>
      </w:r>
      <w:bookmarkEnd w:id="25"/>
    </w:p>
    <w:p w14:paraId="41458401">
      <w:pPr>
        <w:pStyle w:val="22"/>
        <w:ind w:firstLine="640"/>
        <w:rPr>
          <w:shd w:val="clear" w:color="auto" w:fill="auto"/>
        </w:rPr>
      </w:pPr>
      <w:r>
        <w:rPr>
          <w:rFonts w:hint="eastAsia"/>
          <w:shd w:val="clear" w:color="auto" w:fill="auto"/>
        </w:rPr>
        <w:t>科学保护水资源和水环境，采取保护植被、涵养水源、水土流失治理、水源地保护等综合措施，防御水灾害，防治水污染，保护水生态，调度水资源，加强河道岸线管控，推进水生态修复，确保饮用水安全，保证水资源可持续利用。</w:t>
      </w:r>
    </w:p>
    <w:p w14:paraId="6D20A62D">
      <w:pPr>
        <w:pStyle w:val="32"/>
        <w:spacing w:before="156" w:after="156"/>
        <w:ind w:firstLine="640"/>
        <w:rPr>
          <w:shd w:val="clear" w:color="auto" w:fill="auto"/>
        </w:rPr>
      </w:pPr>
      <w:bookmarkStart w:id="26" w:name="_Toc59298944"/>
      <w:r>
        <w:rPr>
          <w:shd w:val="clear" w:color="auto" w:fill="auto"/>
        </w:rPr>
        <w:t>一</w:t>
      </w:r>
      <w:r>
        <w:rPr>
          <w:rFonts w:hint="eastAsia"/>
          <w:shd w:val="clear" w:color="auto" w:fill="auto"/>
        </w:rPr>
        <w:t>、强化水功能区监督管理</w:t>
      </w:r>
      <w:bookmarkEnd w:id="26"/>
    </w:p>
    <w:p w14:paraId="18940F66">
      <w:pPr>
        <w:pStyle w:val="22"/>
        <w:ind w:firstLine="640"/>
        <w:rPr>
          <w:shd w:val="clear" w:color="auto" w:fill="auto"/>
        </w:rPr>
      </w:pPr>
      <w:r>
        <w:rPr>
          <w:rFonts w:hint="eastAsia"/>
          <w:shd w:val="clear" w:color="auto" w:fill="auto"/>
        </w:rPr>
        <w:t>依据《陕西省水功能区划》，镇安县秦岭范围内划分水功能区3个，全部为汉江水系，其中属于源头水保护区1个，保留区2个。依据《水功能区监督管理办法》，强化水功能区监督管理，在源头水保护区中禁止新建、改建、扩建与保护无关的建设项目和从事与保护无关的涉水活动。在保留区，应当控制经济社会活动对水的影响，落实排污许可制，严格控制入河排污总量。建立健全水功能区分级分类监督管理体系和水功能区水质达标评价体系，加强秦岭水质状况监测。到2</w:t>
      </w:r>
      <w:r>
        <w:rPr>
          <w:shd w:val="clear" w:color="auto" w:fill="auto"/>
        </w:rPr>
        <w:t>025年</w:t>
      </w:r>
      <w:r>
        <w:rPr>
          <w:rFonts w:hint="eastAsia"/>
          <w:shd w:val="clear" w:color="auto" w:fill="auto"/>
        </w:rPr>
        <w:t>，水功能区达到或好于Ⅱ类水体比例稳定达到1</w:t>
      </w:r>
      <w:r>
        <w:rPr>
          <w:shd w:val="clear" w:color="auto" w:fill="auto"/>
        </w:rPr>
        <w:t>00</w:t>
      </w:r>
      <w:r>
        <w:rPr>
          <w:rFonts w:hint="eastAsia"/>
          <w:shd w:val="clear" w:color="auto" w:fill="auto"/>
        </w:rPr>
        <w:t>%。</w:t>
      </w:r>
    </w:p>
    <w:p w14:paraId="5DCE8CD2">
      <w:pPr>
        <w:pStyle w:val="22"/>
        <w:ind w:firstLine="643"/>
        <w:rPr>
          <w:shd w:val="clear" w:color="auto" w:fill="auto"/>
        </w:rPr>
      </w:pPr>
      <w:r>
        <w:rPr>
          <w:b/>
          <w:shd w:val="clear" w:color="auto" w:fill="auto"/>
        </w:rPr>
        <w:t>牵头</w:t>
      </w:r>
      <w:r>
        <w:rPr>
          <w:rFonts w:hint="eastAsia"/>
          <w:b/>
          <w:shd w:val="clear" w:color="auto" w:fill="auto"/>
        </w:rPr>
        <w:t>单位：县环境局；配合单位：县水利局</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017"/>
        <w:gridCol w:w="2336"/>
        <w:gridCol w:w="1306"/>
        <w:gridCol w:w="1294"/>
        <w:gridCol w:w="1056"/>
        <w:gridCol w:w="747"/>
        <w:gridCol w:w="730"/>
      </w:tblGrid>
      <w:tr w14:paraId="6C00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vAlign w:val="center"/>
          </w:tcPr>
          <w:p w14:paraId="031F8A0F">
            <w:pPr>
              <w:pStyle w:val="36"/>
              <w:rPr>
                <w:shd w:val="clear" w:color="auto" w:fill="auto"/>
              </w:rPr>
            </w:pPr>
            <w:r>
              <w:rPr>
                <w:rFonts w:hint="eastAsia"/>
                <w:shd w:val="clear" w:color="auto" w:fill="auto"/>
              </w:rPr>
              <w:t xml:space="preserve">专栏 </w:t>
            </w:r>
            <w:r>
              <w:rPr>
                <w:shd w:val="clear" w:color="auto" w:fill="auto"/>
              </w:rPr>
              <w:t>8 镇安县秦岭范围水功能区划及</w:t>
            </w:r>
            <w:r>
              <w:rPr>
                <w:rFonts w:hint="eastAsia"/>
                <w:shd w:val="clear" w:color="auto" w:fill="auto"/>
              </w:rPr>
              <w:t>2</w:t>
            </w:r>
            <w:r>
              <w:rPr>
                <w:shd w:val="clear" w:color="auto" w:fill="auto"/>
              </w:rPr>
              <w:t>025年水质目标</w:t>
            </w:r>
          </w:p>
        </w:tc>
      </w:tr>
      <w:tr w14:paraId="7EAD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7" w:type="pct"/>
            <w:vAlign w:val="center"/>
          </w:tcPr>
          <w:p w14:paraId="5AB0F3F3">
            <w:pPr>
              <w:pStyle w:val="34"/>
              <w:rPr>
                <w:b/>
                <w:shd w:val="clear" w:color="auto" w:fill="auto"/>
              </w:rPr>
            </w:pPr>
            <w:r>
              <w:rPr>
                <w:rFonts w:hint="eastAsia"/>
                <w:b/>
                <w:shd w:val="clear" w:color="auto" w:fill="auto"/>
              </w:rPr>
              <w:t>水系</w:t>
            </w:r>
          </w:p>
        </w:tc>
        <w:tc>
          <w:tcPr>
            <w:tcW w:w="561" w:type="pct"/>
            <w:vAlign w:val="center"/>
          </w:tcPr>
          <w:p w14:paraId="518BA80A">
            <w:pPr>
              <w:pStyle w:val="34"/>
              <w:rPr>
                <w:b/>
                <w:shd w:val="clear" w:color="auto" w:fill="auto"/>
              </w:rPr>
            </w:pPr>
            <w:r>
              <w:rPr>
                <w:rFonts w:hint="eastAsia"/>
                <w:b/>
                <w:shd w:val="clear" w:color="auto" w:fill="auto"/>
              </w:rPr>
              <w:t>河流</w:t>
            </w:r>
          </w:p>
        </w:tc>
        <w:tc>
          <w:tcPr>
            <w:tcW w:w="1289" w:type="pct"/>
            <w:vAlign w:val="center"/>
          </w:tcPr>
          <w:p w14:paraId="75BA5DA6">
            <w:pPr>
              <w:pStyle w:val="34"/>
              <w:rPr>
                <w:b/>
                <w:shd w:val="clear" w:color="auto" w:fill="auto"/>
              </w:rPr>
            </w:pPr>
            <w:r>
              <w:rPr>
                <w:rFonts w:hint="eastAsia"/>
                <w:b/>
                <w:shd w:val="clear" w:color="auto" w:fill="auto"/>
              </w:rPr>
              <w:t>一级功能区</w:t>
            </w:r>
          </w:p>
        </w:tc>
        <w:tc>
          <w:tcPr>
            <w:tcW w:w="721" w:type="pct"/>
            <w:vAlign w:val="center"/>
          </w:tcPr>
          <w:p w14:paraId="09A7973A">
            <w:pPr>
              <w:pStyle w:val="34"/>
              <w:rPr>
                <w:b/>
                <w:shd w:val="clear" w:color="auto" w:fill="auto"/>
              </w:rPr>
            </w:pPr>
            <w:r>
              <w:rPr>
                <w:rFonts w:hint="eastAsia"/>
                <w:b/>
                <w:shd w:val="clear" w:color="auto" w:fill="auto"/>
              </w:rPr>
              <w:t>起始断面</w:t>
            </w:r>
          </w:p>
        </w:tc>
        <w:tc>
          <w:tcPr>
            <w:tcW w:w="714" w:type="pct"/>
            <w:vAlign w:val="center"/>
          </w:tcPr>
          <w:p w14:paraId="7D615187">
            <w:pPr>
              <w:pStyle w:val="34"/>
              <w:rPr>
                <w:b/>
                <w:shd w:val="clear" w:color="auto" w:fill="auto"/>
              </w:rPr>
            </w:pPr>
            <w:r>
              <w:rPr>
                <w:rFonts w:hint="eastAsia"/>
                <w:b/>
                <w:shd w:val="clear" w:color="auto" w:fill="auto"/>
              </w:rPr>
              <w:t>终止断面</w:t>
            </w:r>
          </w:p>
        </w:tc>
        <w:tc>
          <w:tcPr>
            <w:tcW w:w="583" w:type="pct"/>
            <w:vAlign w:val="center"/>
          </w:tcPr>
          <w:p w14:paraId="1981907F">
            <w:pPr>
              <w:pStyle w:val="34"/>
              <w:rPr>
                <w:b/>
                <w:shd w:val="clear" w:color="auto" w:fill="auto"/>
              </w:rPr>
            </w:pPr>
            <w:r>
              <w:rPr>
                <w:rFonts w:hint="eastAsia"/>
                <w:b/>
                <w:shd w:val="clear" w:color="auto" w:fill="auto"/>
              </w:rPr>
              <w:t>长度</w:t>
            </w:r>
          </w:p>
          <w:p w14:paraId="1A9113B5">
            <w:pPr>
              <w:pStyle w:val="34"/>
              <w:rPr>
                <w:b/>
                <w:shd w:val="clear" w:color="auto" w:fill="auto"/>
              </w:rPr>
            </w:pPr>
            <w:r>
              <w:rPr>
                <w:rFonts w:hint="eastAsia"/>
                <w:b/>
                <w:shd w:val="clear" w:color="auto" w:fill="auto"/>
              </w:rPr>
              <w:t>（km）</w:t>
            </w:r>
          </w:p>
        </w:tc>
        <w:tc>
          <w:tcPr>
            <w:tcW w:w="412" w:type="pct"/>
            <w:vAlign w:val="center"/>
          </w:tcPr>
          <w:p w14:paraId="4AADC9BD">
            <w:pPr>
              <w:pStyle w:val="34"/>
              <w:rPr>
                <w:b/>
                <w:shd w:val="clear" w:color="auto" w:fill="auto"/>
              </w:rPr>
            </w:pPr>
            <w:r>
              <w:rPr>
                <w:rFonts w:hint="eastAsia"/>
                <w:b/>
                <w:shd w:val="clear" w:color="auto" w:fill="auto"/>
              </w:rPr>
              <w:t>现状水质</w:t>
            </w:r>
          </w:p>
        </w:tc>
        <w:tc>
          <w:tcPr>
            <w:tcW w:w="400" w:type="pct"/>
            <w:vAlign w:val="center"/>
          </w:tcPr>
          <w:p w14:paraId="08214057">
            <w:pPr>
              <w:pStyle w:val="34"/>
              <w:rPr>
                <w:b/>
                <w:shd w:val="clear" w:color="auto" w:fill="auto"/>
              </w:rPr>
            </w:pPr>
            <w:r>
              <w:rPr>
                <w:rFonts w:hint="eastAsia"/>
                <w:b/>
                <w:shd w:val="clear" w:color="auto" w:fill="auto"/>
              </w:rPr>
              <w:t>目标水质</w:t>
            </w:r>
          </w:p>
        </w:tc>
      </w:tr>
      <w:tr w14:paraId="3018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7" w:type="pct"/>
            <w:vMerge w:val="restart"/>
            <w:vAlign w:val="center"/>
          </w:tcPr>
          <w:p w14:paraId="7265D0B9">
            <w:pPr>
              <w:pStyle w:val="34"/>
              <w:rPr>
                <w:b/>
                <w:shd w:val="clear" w:color="auto" w:fill="auto"/>
              </w:rPr>
            </w:pPr>
            <w:r>
              <w:rPr>
                <w:rFonts w:hint="eastAsia"/>
                <w:b/>
                <w:shd w:val="clear" w:color="auto" w:fill="auto"/>
              </w:rPr>
              <w:t>汉江</w:t>
            </w:r>
          </w:p>
        </w:tc>
        <w:tc>
          <w:tcPr>
            <w:tcW w:w="561" w:type="pct"/>
            <w:vMerge w:val="restart"/>
            <w:vAlign w:val="center"/>
          </w:tcPr>
          <w:p w14:paraId="47053B53">
            <w:pPr>
              <w:pStyle w:val="34"/>
              <w:rPr>
                <w:b/>
                <w:shd w:val="clear" w:color="auto" w:fill="auto"/>
              </w:rPr>
            </w:pPr>
            <w:r>
              <w:rPr>
                <w:rFonts w:hint="eastAsia"/>
                <w:b/>
                <w:shd w:val="clear" w:color="auto" w:fill="auto"/>
              </w:rPr>
              <w:t>旬河</w:t>
            </w:r>
          </w:p>
        </w:tc>
        <w:tc>
          <w:tcPr>
            <w:tcW w:w="1289" w:type="pct"/>
            <w:vAlign w:val="center"/>
          </w:tcPr>
          <w:p w14:paraId="2EC1AB35">
            <w:pPr>
              <w:pStyle w:val="34"/>
              <w:rPr>
                <w:shd w:val="clear" w:color="auto" w:fill="auto"/>
              </w:rPr>
            </w:pPr>
            <w:r>
              <w:rPr>
                <w:rFonts w:hint="eastAsia"/>
                <w:shd w:val="clear" w:color="auto" w:fill="auto"/>
              </w:rPr>
              <w:t>旬、镇、柞源头水保护区</w:t>
            </w:r>
          </w:p>
        </w:tc>
        <w:tc>
          <w:tcPr>
            <w:tcW w:w="721" w:type="pct"/>
            <w:vAlign w:val="center"/>
          </w:tcPr>
          <w:p w14:paraId="56D1D1BD">
            <w:pPr>
              <w:pStyle w:val="34"/>
              <w:rPr>
                <w:shd w:val="clear" w:color="auto" w:fill="auto"/>
              </w:rPr>
            </w:pPr>
            <w:r>
              <w:rPr>
                <w:rFonts w:hint="eastAsia"/>
                <w:shd w:val="clear" w:color="auto" w:fill="auto"/>
              </w:rPr>
              <w:t>河源</w:t>
            </w:r>
          </w:p>
        </w:tc>
        <w:tc>
          <w:tcPr>
            <w:tcW w:w="714" w:type="pct"/>
            <w:vAlign w:val="center"/>
          </w:tcPr>
          <w:p w14:paraId="4A68366C">
            <w:pPr>
              <w:pStyle w:val="34"/>
              <w:rPr>
                <w:shd w:val="clear" w:color="auto" w:fill="auto"/>
              </w:rPr>
            </w:pPr>
            <w:r>
              <w:rPr>
                <w:rFonts w:hint="eastAsia"/>
                <w:shd w:val="clear" w:color="auto" w:fill="auto"/>
              </w:rPr>
              <w:t>柴坪</w:t>
            </w:r>
          </w:p>
        </w:tc>
        <w:tc>
          <w:tcPr>
            <w:tcW w:w="583" w:type="pct"/>
            <w:vAlign w:val="center"/>
          </w:tcPr>
          <w:p w14:paraId="1AFCA341">
            <w:pPr>
              <w:pStyle w:val="34"/>
              <w:rPr>
                <w:shd w:val="clear" w:color="auto" w:fill="auto"/>
              </w:rPr>
            </w:pPr>
            <w:r>
              <w:rPr>
                <w:rFonts w:hint="eastAsia"/>
                <w:shd w:val="clear" w:color="auto" w:fill="auto"/>
              </w:rPr>
              <w:t>1</w:t>
            </w:r>
            <w:r>
              <w:rPr>
                <w:shd w:val="clear" w:color="auto" w:fill="auto"/>
              </w:rPr>
              <w:t>04.0</w:t>
            </w:r>
          </w:p>
        </w:tc>
        <w:tc>
          <w:tcPr>
            <w:tcW w:w="412" w:type="pct"/>
            <w:vAlign w:val="center"/>
          </w:tcPr>
          <w:p w14:paraId="690FBC2B">
            <w:pPr>
              <w:pStyle w:val="34"/>
              <w:rPr>
                <w:shd w:val="clear" w:color="auto" w:fill="auto"/>
              </w:rPr>
            </w:pPr>
            <w:r>
              <w:rPr>
                <w:rFonts w:hint="eastAsia"/>
                <w:shd w:val="clear" w:color="auto" w:fill="auto"/>
              </w:rPr>
              <w:t>II</w:t>
            </w:r>
          </w:p>
        </w:tc>
        <w:tc>
          <w:tcPr>
            <w:tcW w:w="400" w:type="pct"/>
            <w:vAlign w:val="center"/>
          </w:tcPr>
          <w:p w14:paraId="1BB2A95F">
            <w:pPr>
              <w:pStyle w:val="34"/>
              <w:rPr>
                <w:shd w:val="clear" w:color="auto" w:fill="auto"/>
              </w:rPr>
            </w:pPr>
            <w:r>
              <w:rPr>
                <w:rFonts w:hint="eastAsia"/>
                <w:shd w:val="clear" w:color="auto" w:fill="auto"/>
              </w:rPr>
              <w:t>II</w:t>
            </w:r>
          </w:p>
        </w:tc>
      </w:tr>
      <w:tr w14:paraId="142F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7" w:type="pct"/>
            <w:vMerge w:val="continue"/>
            <w:vAlign w:val="center"/>
          </w:tcPr>
          <w:p w14:paraId="31A67264">
            <w:pPr>
              <w:pStyle w:val="34"/>
              <w:rPr>
                <w:shd w:val="clear" w:color="auto" w:fill="auto"/>
              </w:rPr>
            </w:pPr>
          </w:p>
        </w:tc>
        <w:tc>
          <w:tcPr>
            <w:tcW w:w="561" w:type="pct"/>
            <w:vMerge w:val="continue"/>
            <w:vAlign w:val="center"/>
          </w:tcPr>
          <w:p w14:paraId="597F415D">
            <w:pPr>
              <w:pStyle w:val="34"/>
              <w:rPr>
                <w:shd w:val="clear" w:color="auto" w:fill="auto"/>
              </w:rPr>
            </w:pPr>
          </w:p>
        </w:tc>
        <w:tc>
          <w:tcPr>
            <w:tcW w:w="1289" w:type="pct"/>
            <w:vAlign w:val="center"/>
          </w:tcPr>
          <w:p w14:paraId="01FB813A">
            <w:pPr>
              <w:pStyle w:val="34"/>
              <w:rPr>
                <w:shd w:val="clear" w:color="auto" w:fill="auto"/>
              </w:rPr>
            </w:pPr>
            <w:r>
              <w:rPr>
                <w:rFonts w:hint="eastAsia"/>
                <w:shd w:val="clear" w:color="auto" w:fill="auto"/>
              </w:rPr>
              <w:t>镇安、旬阳保留区</w:t>
            </w:r>
          </w:p>
        </w:tc>
        <w:tc>
          <w:tcPr>
            <w:tcW w:w="721" w:type="pct"/>
            <w:vAlign w:val="center"/>
          </w:tcPr>
          <w:p w14:paraId="28994BE3">
            <w:pPr>
              <w:pStyle w:val="34"/>
              <w:rPr>
                <w:shd w:val="clear" w:color="auto" w:fill="auto"/>
              </w:rPr>
            </w:pPr>
            <w:r>
              <w:rPr>
                <w:rFonts w:hint="eastAsia"/>
                <w:shd w:val="clear" w:color="auto" w:fill="auto"/>
              </w:rPr>
              <w:t>柴坪</w:t>
            </w:r>
          </w:p>
        </w:tc>
        <w:tc>
          <w:tcPr>
            <w:tcW w:w="714" w:type="pct"/>
            <w:vAlign w:val="center"/>
          </w:tcPr>
          <w:p w14:paraId="1C0117B0">
            <w:pPr>
              <w:pStyle w:val="34"/>
              <w:rPr>
                <w:shd w:val="clear" w:color="auto" w:fill="auto"/>
              </w:rPr>
            </w:pPr>
            <w:r>
              <w:rPr>
                <w:rFonts w:hint="eastAsia"/>
                <w:shd w:val="clear" w:color="auto" w:fill="auto"/>
              </w:rPr>
              <w:t>白柳</w:t>
            </w:r>
          </w:p>
        </w:tc>
        <w:tc>
          <w:tcPr>
            <w:tcW w:w="583" w:type="pct"/>
            <w:vAlign w:val="center"/>
          </w:tcPr>
          <w:p w14:paraId="70F68BB5">
            <w:pPr>
              <w:pStyle w:val="34"/>
              <w:rPr>
                <w:shd w:val="clear" w:color="auto" w:fill="auto"/>
              </w:rPr>
            </w:pPr>
            <w:r>
              <w:rPr>
                <w:rFonts w:hint="eastAsia"/>
                <w:shd w:val="clear" w:color="auto" w:fill="auto"/>
              </w:rPr>
              <w:t>1</w:t>
            </w:r>
            <w:r>
              <w:rPr>
                <w:shd w:val="clear" w:color="auto" w:fill="auto"/>
              </w:rPr>
              <w:t>01.0</w:t>
            </w:r>
          </w:p>
        </w:tc>
        <w:tc>
          <w:tcPr>
            <w:tcW w:w="412" w:type="pct"/>
            <w:vAlign w:val="center"/>
          </w:tcPr>
          <w:p w14:paraId="3D5A979D">
            <w:pPr>
              <w:pStyle w:val="34"/>
              <w:rPr>
                <w:shd w:val="clear" w:color="auto" w:fill="auto"/>
              </w:rPr>
            </w:pPr>
            <w:r>
              <w:rPr>
                <w:rFonts w:hint="eastAsia"/>
                <w:shd w:val="clear" w:color="auto" w:fill="auto"/>
              </w:rPr>
              <w:t>II</w:t>
            </w:r>
          </w:p>
        </w:tc>
        <w:tc>
          <w:tcPr>
            <w:tcW w:w="400" w:type="pct"/>
            <w:vAlign w:val="center"/>
          </w:tcPr>
          <w:p w14:paraId="57773B6C">
            <w:pPr>
              <w:pStyle w:val="34"/>
              <w:rPr>
                <w:shd w:val="clear" w:color="auto" w:fill="auto"/>
              </w:rPr>
            </w:pPr>
            <w:r>
              <w:rPr>
                <w:rFonts w:hint="eastAsia"/>
                <w:shd w:val="clear" w:color="auto" w:fill="auto"/>
              </w:rPr>
              <w:t>II</w:t>
            </w:r>
          </w:p>
        </w:tc>
      </w:tr>
      <w:tr w14:paraId="4144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7" w:type="pct"/>
            <w:vMerge w:val="continue"/>
            <w:vAlign w:val="center"/>
          </w:tcPr>
          <w:p w14:paraId="00207469">
            <w:pPr>
              <w:pStyle w:val="34"/>
              <w:rPr>
                <w:shd w:val="clear" w:color="auto" w:fill="auto"/>
              </w:rPr>
            </w:pPr>
          </w:p>
        </w:tc>
        <w:tc>
          <w:tcPr>
            <w:tcW w:w="561" w:type="pct"/>
            <w:vAlign w:val="center"/>
          </w:tcPr>
          <w:p w14:paraId="781E85C1">
            <w:pPr>
              <w:pStyle w:val="34"/>
              <w:rPr>
                <w:b/>
                <w:shd w:val="clear" w:color="auto" w:fill="auto"/>
              </w:rPr>
            </w:pPr>
            <w:r>
              <w:rPr>
                <w:rFonts w:hint="eastAsia"/>
                <w:b/>
                <w:shd w:val="clear" w:color="auto" w:fill="auto"/>
              </w:rPr>
              <w:t>乾佑河</w:t>
            </w:r>
          </w:p>
        </w:tc>
        <w:tc>
          <w:tcPr>
            <w:tcW w:w="1289" w:type="pct"/>
            <w:vAlign w:val="center"/>
          </w:tcPr>
          <w:p w14:paraId="45FE445C">
            <w:pPr>
              <w:pStyle w:val="34"/>
              <w:rPr>
                <w:shd w:val="clear" w:color="auto" w:fill="auto"/>
              </w:rPr>
            </w:pPr>
            <w:r>
              <w:rPr>
                <w:rFonts w:hint="eastAsia"/>
                <w:shd w:val="clear" w:color="auto" w:fill="auto"/>
              </w:rPr>
              <w:t>柞水、镇安保留区</w:t>
            </w:r>
          </w:p>
        </w:tc>
        <w:tc>
          <w:tcPr>
            <w:tcW w:w="721" w:type="pct"/>
            <w:vAlign w:val="center"/>
          </w:tcPr>
          <w:p w14:paraId="46916067">
            <w:pPr>
              <w:pStyle w:val="34"/>
              <w:rPr>
                <w:shd w:val="clear" w:color="auto" w:fill="auto"/>
              </w:rPr>
            </w:pPr>
            <w:r>
              <w:rPr>
                <w:rFonts w:hint="eastAsia"/>
                <w:shd w:val="clear" w:color="auto" w:fill="auto"/>
              </w:rPr>
              <w:t>河源</w:t>
            </w:r>
          </w:p>
        </w:tc>
        <w:tc>
          <w:tcPr>
            <w:tcW w:w="714" w:type="pct"/>
            <w:vAlign w:val="center"/>
          </w:tcPr>
          <w:p w14:paraId="522C273C">
            <w:pPr>
              <w:pStyle w:val="34"/>
              <w:rPr>
                <w:shd w:val="clear" w:color="auto" w:fill="auto"/>
              </w:rPr>
            </w:pPr>
            <w:r>
              <w:rPr>
                <w:rFonts w:hint="eastAsia"/>
                <w:shd w:val="clear" w:color="auto" w:fill="auto"/>
              </w:rPr>
              <w:t>旬河入口</w:t>
            </w:r>
          </w:p>
        </w:tc>
        <w:tc>
          <w:tcPr>
            <w:tcW w:w="583" w:type="pct"/>
            <w:vAlign w:val="center"/>
          </w:tcPr>
          <w:p w14:paraId="02E9FE25">
            <w:pPr>
              <w:pStyle w:val="34"/>
              <w:rPr>
                <w:shd w:val="clear" w:color="auto" w:fill="auto"/>
              </w:rPr>
            </w:pPr>
            <w:r>
              <w:rPr>
                <w:rFonts w:hint="eastAsia"/>
                <w:shd w:val="clear" w:color="auto" w:fill="auto"/>
              </w:rPr>
              <w:t>1</w:t>
            </w:r>
            <w:r>
              <w:rPr>
                <w:shd w:val="clear" w:color="auto" w:fill="auto"/>
              </w:rPr>
              <w:t>40.0</w:t>
            </w:r>
          </w:p>
        </w:tc>
        <w:tc>
          <w:tcPr>
            <w:tcW w:w="412" w:type="pct"/>
            <w:vAlign w:val="center"/>
          </w:tcPr>
          <w:p w14:paraId="65C780A5">
            <w:pPr>
              <w:pStyle w:val="34"/>
              <w:rPr>
                <w:shd w:val="clear" w:color="auto" w:fill="auto"/>
              </w:rPr>
            </w:pPr>
            <w:r>
              <w:rPr>
                <w:rFonts w:hint="eastAsia"/>
                <w:shd w:val="clear" w:color="auto" w:fill="auto"/>
              </w:rPr>
              <w:t>II</w:t>
            </w:r>
          </w:p>
        </w:tc>
        <w:tc>
          <w:tcPr>
            <w:tcW w:w="400" w:type="pct"/>
            <w:vAlign w:val="center"/>
          </w:tcPr>
          <w:p w14:paraId="319F246B">
            <w:pPr>
              <w:pStyle w:val="34"/>
              <w:rPr>
                <w:shd w:val="clear" w:color="auto" w:fill="auto"/>
              </w:rPr>
            </w:pPr>
            <w:r>
              <w:rPr>
                <w:rFonts w:hint="eastAsia"/>
                <w:shd w:val="clear" w:color="auto" w:fill="auto"/>
              </w:rPr>
              <w:t>II</w:t>
            </w:r>
          </w:p>
        </w:tc>
      </w:tr>
      <w:tr w14:paraId="0440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8"/>
            <w:vAlign w:val="center"/>
          </w:tcPr>
          <w:p w14:paraId="3D586C54">
            <w:pPr>
              <w:pStyle w:val="22"/>
              <w:ind w:firstLine="0" w:firstLineChars="0"/>
              <w:rPr>
                <w:b/>
                <w:sz w:val="24"/>
                <w:szCs w:val="24"/>
                <w:shd w:val="clear" w:color="auto" w:fill="auto"/>
              </w:rPr>
            </w:pPr>
            <w:r>
              <w:rPr>
                <w:b/>
                <w:sz w:val="24"/>
                <w:szCs w:val="24"/>
                <w:shd w:val="clear" w:color="auto" w:fill="auto"/>
              </w:rPr>
              <w:t>注</w:t>
            </w:r>
            <w:r>
              <w:rPr>
                <w:rFonts w:hint="eastAsia"/>
                <w:b/>
                <w:sz w:val="24"/>
                <w:szCs w:val="24"/>
                <w:shd w:val="clear" w:color="auto" w:fill="auto"/>
              </w:rPr>
              <w:t>：现状水质采用2</w:t>
            </w:r>
            <w:r>
              <w:rPr>
                <w:b/>
                <w:sz w:val="24"/>
                <w:szCs w:val="24"/>
                <w:shd w:val="clear" w:color="auto" w:fill="auto"/>
              </w:rPr>
              <w:t>019年底数据</w:t>
            </w:r>
          </w:p>
        </w:tc>
      </w:tr>
    </w:tbl>
    <w:p w14:paraId="06F105C3">
      <w:pPr>
        <w:pStyle w:val="32"/>
        <w:spacing w:before="156" w:after="156"/>
        <w:ind w:firstLine="640"/>
        <w:rPr>
          <w:shd w:val="clear" w:color="auto" w:fill="auto"/>
        </w:rPr>
      </w:pPr>
      <w:bookmarkStart w:id="27" w:name="_Toc59298945"/>
      <w:r>
        <w:rPr>
          <w:shd w:val="clear" w:color="auto" w:fill="auto"/>
        </w:rPr>
        <w:t>二</w:t>
      </w:r>
      <w:r>
        <w:rPr>
          <w:rFonts w:hint="eastAsia"/>
          <w:shd w:val="clear" w:color="auto" w:fill="auto"/>
        </w:rPr>
        <w:t>、深化饮用水水源地保护</w:t>
      </w:r>
      <w:bookmarkEnd w:id="27"/>
    </w:p>
    <w:p w14:paraId="6776B2C0">
      <w:pPr>
        <w:pStyle w:val="29"/>
        <w:spacing w:before="156" w:after="156"/>
        <w:ind w:firstLine="643"/>
        <w:rPr>
          <w:shd w:val="clear" w:color="auto" w:fill="auto"/>
        </w:rPr>
      </w:pPr>
      <w:r>
        <w:rPr>
          <w:rFonts w:hint="eastAsia"/>
          <w:shd w:val="clear" w:color="auto" w:fill="auto"/>
        </w:rPr>
        <w:t>（一）加强水源地安全管控</w:t>
      </w:r>
    </w:p>
    <w:p w14:paraId="4FB45055">
      <w:pPr>
        <w:pStyle w:val="22"/>
        <w:ind w:firstLine="640"/>
        <w:rPr>
          <w:shd w:val="clear" w:color="auto" w:fill="auto"/>
        </w:rPr>
      </w:pPr>
      <w:r>
        <w:rPr>
          <w:rFonts w:hint="eastAsia"/>
          <w:shd w:val="clear" w:color="auto" w:fill="auto"/>
        </w:rPr>
        <w:t>禁止使用不符合国家规定防污条件的运载工具，运载油类、粪便等污染物和有毒、有害物质通过饮用水地表水水源保护区。禁止运输危险化学品的车辆通过饮用水地表水水源保护区；确需通过的，应当采取有效安全防护措施，依法报公安机关办理有关手续，并通知饮用水水源保护区管理机构。制定饮用水水源地突发事件应急预案，对于水源地上游或周边分布有采矿、化工等污染性企业及临近交通干线的，应在水源保护区建设截污坝、截污沟（渠）、隔离墩（墙）等风险防范设施，并符合饮用水水源地达标建设要求。</w:t>
      </w:r>
    </w:p>
    <w:p w14:paraId="2BB565C6">
      <w:pPr>
        <w:pStyle w:val="29"/>
        <w:spacing w:before="156" w:after="156"/>
        <w:ind w:firstLine="643"/>
        <w:rPr>
          <w:shd w:val="clear" w:color="auto" w:fill="auto"/>
        </w:rPr>
      </w:pPr>
      <w:r>
        <w:rPr>
          <w:rFonts w:hint="eastAsia"/>
          <w:shd w:val="clear" w:color="auto" w:fill="auto"/>
        </w:rPr>
        <w:t>（二）严格水源地项目准入</w:t>
      </w:r>
    </w:p>
    <w:p w14:paraId="2839CB42">
      <w:pPr>
        <w:pStyle w:val="22"/>
        <w:ind w:firstLine="640"/>
        <w:rPr>
          <w:shd w:val="clear" w:color="auto" w:fill="auto"/>
        </w:rPr>
      </w:pPr>
      <w:r>
        <w:rPr>
          <w:rFonts w:hint="eastAsia"/>
          <w:shd w:val="clear" w:color="auto" w:fill="auto"/>
        </w:rPr>
        <w:t>严格控制项目审批关，凡是涉及饮用水水源地保护区内的建设项目一律不予审批，从源头上彻底杜绝饮用水水源污染。在水源地的一级保护区范围内，禁止建设与供水设施和保护水源无关的项目，关闭污水排放口，搬迁工业企业，清除工业废渣和生活垃圾。限期关闭二级保护区内的直接排污口，禁止严重污染水质的网箱养殖、农家乐、旅游垂钓等活动，禁止新建、改建、扩建向水域排放污染物的建设项目。国家、地方供水工程水源涵养地和其他饮用水地表水、地下水的水源一级保护区、二级保护区、准保护区的管理，按照国家和陕西省饮用水水源保护的有关规定从严执行，确保供水达标达质。</w:t>
      </w:r>
    </w:p>
    <w:p w14:paraId="537AABE3">
      <w:pPr>
        <w:pStyle w:val="29"/>
        <w:spacing w:before="156" w:after="156"/>
        <w:ind w:firstLine="643"/>
        <w:rPr>
          <w:shd w:val="clear" w:color="auto" w:fill="auto"/>
        </w:rPr>
      </w:pPr>
      <w:r>
        <w:rPr>
          <w:rFonts w:hint="eastAsia"/>
          <w:shd w:val="clear" w:color="auto" w:fill="auto"/>
        </w:rPr>
        <w:t>（三）完善水源地规范化建设</w:t>
      </w:r>
    </w:p>
    <w:p w14:paraId="6E3081A2">
      <w:pPr>
        <w:pStyle w:val="22"/>
        <w:ind w:firstLine="640"/>
        <w:rPr>
          <w:shd w:val="clear" w:color="auto" w:fill="auto"/>
        </w:rPr>
      </w:pPr>
      <w:r>
        <w:rPr>
          <w:rFonts w:hint="eastAsia"/>
          <w:shd w:val="clear" w:color="auto" w:fill="auto"/>
        </w:rPr>
        <w:t>完成实际供水人口在1000人以上农村集中式水源地的保护区划定，必要时可以在饮用水水源保护区外围划定一定的区域作为准保护区。明确水源地各级保护区边界，在水源保护区内、水源地附近以及人们生产生活活动接近水源地的区域设置界标、警示标志、公告牌，建立交通道路防护、警告与监控设施，公布监督危害水源行为的举报电话。</w:t>
      </w:r>
    </w:p>
    <w:p w14:paraId="5CE47F60">
      <w:pPr>
        <w:pStyle w:val="22"/>
        <w:ind w:firstLine="643"/>
        <w:rPr>
          <w:b/>
          <w:shd w:val="clear" w:color="auto" w:fill="auto"/>
        </w:rPr>
      </w:pPr>
      <w:r>
        <w:rPr>
          <w:rFonts w:hint="eastAsia"/>
          <w:b/>
          <w:shd w:val="clear" w:color="auto" w:fill="auto"/>
        </w:rPr>
        <w:t>牵头单位：县环境局；配合单位：县水利局、县农业农村局、县交通局、县公安局、县交通局、各镇办</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4A8A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6935A866">
            <w:pPr>
              <w:pStyle w:val="36"/>
              <w:rPr>
                <w:shd w:val="clear" w:color="auto" w:fill="auto"/>
              </w:rPr>
            </w:pPr>
            <w:r>
              <w:rPr>
                <w:rFonts w:hint="eastAsia"/>
                <w:shd w:val="clear" w:color="auto" w:fill="auto"/>
              </w:rPr>
              <w:t xml:space="preserve">专栏 </w:t>
            </w:r>
            <w:r>
              <w:rPr>
                <w:shd w:val="clear" w:color="auto" w:fill="auto"/>
              </w:rPr>
              <w:t xml:space="preserve">9 </w:t>
            </w:r>
            <w:r>
              <w:rPr>
                <w:rFonts w:hint="eastAsia"/>
                <w:shd w:val="clear" w:color="auto" w:fill="auto"/>
              </w:rPr>
              <w:t>镇安县秦岭范围水源地建设重点工程</w:t>
            </w:r>
          </w:p>
        </w:tc>
      </w:tr>
      <w:tr w14:paraId="4F60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34" w:type="dxa"/>
            <w:vAlign w:val="center"/>
          </w:tcPr>
          <w:p w14:paraId="351A5CA5">
            <w:pPr>
              <w:pStyle w:val="34"/>
              <w:ind w:firstLine="482" w:firstLineChars="200"/>
              <w:jc w:val="both"/>
              <w:rPr>
                <w:shd w:val="clear" w:color="auto" w:fill="auto"/>
              </w:rPr>
            </w:pPr>
            <w:r>
              <w:rPr>
                <w:b/>
                <w:shd w:val="clear" w:color="auto" w:fill="auto"/>
              </w:rPr>
              <w:t>云镇水库建设重点项目</w:t>
            </w:r>
            <w:r>
              <w:rPr>
                <w:rFonts w:hint="eastAsia"/>
                <w:b/>
                <w:shd w:val="clear" w:color="auto" w:fill="auto"/>
              </w:rPr>
              <w:t>：</w:t>
            </w:r>
            <w:r>
              <w:rPr>
                <w:rFonts w:hint="eastAsia"/>
                <w:shd w:val="clear" w:color="auto" w:fill="auto"/>
              </w:rPr>
              <w:t>位于县城以西20公里的云盖寺镇，是一座集烟田灌溉、县城供水、防洪工程于一体的综合性民生项目。主要包括大坝主体工程、移民安置和环库公路建设，计划总投资3.8亿元。项目建成后，将解决云盖寺镇等4个镇办沿线烤烟等农业灌溉问题，有效保障城区10万人供水和行洪安全，对镇安产业发展和民生保障具有十分重要的作用。</w:t>
            </w:r>
          </w:p>
        </w:tc>
      </w:tr>
    </w:tbl>
    <w:p w14:paraId="44F775E5">
      <w:pPr>
        <w:pStyle w:val="32"/>
        <w:spacing w:before="156" w:after="156"/>
        <w:ind w:firstLine="640"/>
        <w:rPr>
          <w:shd w:val="clear" w:color="auto" w:fill="auto"/>
        </w:rPr>
      </w:pPr>
      <w:bookmarkStart w:id="28" w:name="_Toc59298946"/>
      <w:r>
        <w:rPr>
          <w:shd w:val="clear" w:color="auto" w:fill="auto"/>
        </w:rPr>
        <w:t>三</w:t>
      </w:r>
      <w:r>
        <w:rPr>
          <w:rFonts w:hint="eastAsia"/>
          <w:shd w:val="clear" w:color="auto" w:fill="auto"/>
        </w:rPr>
        <w:t>、进一步加强水土保持工作</w:t>
      </w:r>
      <w:bookmarkEnd w:id="28"/>
    </w:p>
    <w:p w14:paraId="64729ADF">
      <w:pPr>
        <w:pStyle w:val="29"/>
        <w:spacing w:before="156" w:after="156"/>
        <w:ind w:firstLine="643"/>
        <w:rPr>
          <w:shd w:val="clear" w:color="auto" w:fill="auto"/>
        </w:rPr>
      </w:pPr>
      <w:r>
        <w:rPr>
          <w:rFonts w:hint="eastAsia"/>
          <w:shd w:val="clear" w:color="auto" w:fill="auto"/>
        </w:rPr>
        <w:t>（一）加强水土保持源头预防</w:t>
      </w:r>
    </w:p>
    <w:p w14:paraId="1BAC3E32">
      <w:pPr>
        <w:pStyle w:val="22"/>
        <w:ind w:firstLine="640"/>
        <w:rPr>
          <w:shd w:val="clear" w:color="auto" w:fill="auto"/>
        </w:rPr>
      </w:pPr>
      <w:r>
        <w:rPr>
          <w:rFonts w:hint="eastAsia"/>
          <w:shd w:val="clear" w:color="auto" w:fill="auto"/>
        </w:rPr>
        <w:t>在禁垦坡度以下、5度以上的坡地种植农作物的，应当采取修建水平梯田、坡面水系整治、蓄水保土耕作等水土保持措施；植树造林、抚育幼林、种植中药材的，应当采取水土保持措施，防止水土流失。严禁</w:t>
      </w:r>
      <w:r>
        <w:rPr>
          <w:rFonts w:hint="eastAsia"/>
          <w:shd w:val="clear" w:color="auto" w:fill="auto"/>
          <w:lang w:eastAsia="zh-CN"/>
        </w:rPr>
        <w:t>乱砍滥伐</w:t>
      </w:r>
      <w:r>
        <w:rPr>
          <w:rFonts w:hint="eastAsia"/>
          <w:shd w:val="clear" w:color="auto" w:fill="auto"/>
        </w:rPr>
        <w:t>和陡坡开荒，禁止在旬河、乾佑河等河流两岸，西康铁路、G65包茂高速公路、G345国道等公路铁路和重要旅游线路两侧直观可视范围内，进行露天开采石材石料等非金属矿产资源的行为。采矿企业应优化采矿工艺标准，严格执行开采工艺，最大限度减少地面扰动和破坏地下水系。严格生产建设项目水土保持方案申报审批，水土保持设施应当与主体工程同时设计、同时施工、同时投产使用。</w:t>
      </w:r>
    </w:p>
    <w:p w14:paraId="39DACE32">
      <w:pPr>
        <w:pStyle w:val="29"/>
        <w:spacing w:before="156" w:after="156"/>
        <w:ind w:firstLine="643"/>
        <w:rPr>
          <w:shd w:val="clear" w:color="auto" w:fill="auto"/>
        </w:rPr>
      </w:pPr>
      <w:r>
        <w:rPr>
          <w:rFonts w:hint="eastAsia"/>
          <w:shd w:val="clear" w:color="auto" w:fill="auto"/>
        </w:rPr>
        <w:t>（二）完善水土保持监测网络</w:t>
      </w:r>
    </w:p>
    <w:p w14:paraId="1A251953">
      <w:pPr>
        <w:pStyle w:val="22"/>
        <w:ind w:firstLine="640"/>
        <w:rPr>
          <w:shd w:val="clear" w:color="auto" w:fill="auto"/>
        </w:rPr>
      </w:pPr>
      <w:r>
        <w:rPr>
          <w:rFonts w:hint="eastAsia"/>
          <w:shd w:val="clear" w:color="auto" w:fill="auto"/>
        </w:rPr>
        <w:t>各有关部门要加强水土保持监测工作，将水土流失综合治理工作全面纳入“天地一体化”动态监管范围，通过卫星遥感影像实时掌握水土流失背景情况和综合治理情况，为合理制定水土保持规划和准确评估治理效果提供科学依据。落实生产建设单位的监测主体责任，规范生产建设项目水土保持监测工作，严格执行生产建设项目水土保持监测季报和总结报告制度。加强监测成果应用，及时向社会发布水土保持公报。</w:t>
      </w:r>
    </w:p>
    <w:p w14:paraId="4D6471A8">
      <w:pPr>
        <w:pStyle w:val="22"/>
        <w:ind w:firstLine="643"/>
        <w:rPr>
          <w:b/>
          <w:shd w:val="clear" w:color="auto" w:fill="auto"/>
        </w:rPr>
      </w:pPr>
      <w:r>
        <w:rPr>
          <w:rFonts w:hint="eastAsia"/>
          <w:b/>
          <w:shd w:val="clear" w:color="auto" w:fill="auto"/>
        </w:rPr>
        <w:t>牵头单位：县水利局；配合单位：县林业局、县资源局、县环境局、县农业农村局</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890"/>
        <w:gridCol w:w="1307"/>
        <w:gridCol w:w="2178"/>
        <w:gridCol w:w="2377"/>
      </w:tblGrid>
      <w:tr w14:paraId="56FE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00" w:type="pct"/>
            <w:gridSpan w:val="5"/>
            <w:vAlign w:val="center"/>
          </w:tcPr>
          <w:p w14:paraId="216912AC">
            <w:pPr>
              <w:pStyle w:val="36"/>
              <w:rPr>
                <w:shd w:val="clear" w:color="auto" w:fill="auto"/>
              </w:rPr>
            </w:pPr>
            <w:r>
              <w:rPr>
                <w:shd w:val="clear" w:color="auto" w:fill="auto"/>
              </w:rPr>
              <w:t>专栏</w:t>
            </w:r>
            <w:r>
              <w:rPr>
                <w:rFonts w:hint="eastAsia"/>
                <w:shd w:val="clear" w:color="auto" w:fill="auto"/>
              </w:rPr>
              <w:t xml:space="preserve"> </w:t>
            </w:r>
            <w:r>
              <w:rPr>
                <w:shd w:val="clear" w:color="auto" w:fill="auto"/>
              </w:rPr>
              <w:t>10 镇安县秦岭范围</w:t>
            </w:r>
            <w:r>
              <w:rPr>
                <w:rFonts w:hint="eastAsia"/>
                <w:shd w:val="clear" w:color="auto" w:fill="auto"/>
              </w:rPr>
              <w:t>水土保持重点工程</w:t>
            </w:r>
          </w:p>
        </w:tc>
      </w:tr>
      <w:tr w14:paraId="7A35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22" w:type="pct"/>
            <w:vAlign w:val="center"/>
          </w:tcPr>
          <w:p w14:paraId="6EFB2BB6">
            <w:pPr>
              <w:pStyle w:val="34"/>
              <w:rPr>
                <w:b/>
                <w:shd w:val="clear" w:color="auto" w:fill="auto"/>
              </w:rPr>
            </w:pPr>
            <w:r>
              <w:rPr>
                <w:rFonts w:hint="eastAsia"/>
                <w:b/>
                <w:shd w:val="clear" w:color="auto" w:fill="auto"/>
              </w:rPr>
              <w:t>项目类别</w:t>
            </w:r>
          </w:p>
        </w:tc>
        <w:tc>
          <w:tcPr>
            <w:tcW w:w="1043" w:type="pct"/>
            <w:vAlign w:val="center"/>
          </w:tcPr>
          <w:p w14:paraId="34C8D3B6">
            <w:pPr>
              <w:pStyle w:val="34"/>
              <w:rPr>
                <w:b/>
                <w:shd w:val="clear" w:color="auto" w:fill="auto"/>
              </w:rPr>
            </w:pPr>
            <w:r>
              <w:rPr>
                <w:rFonts w:hint="eastAsia"/>
                <w:b/>
                <w:shd w:val="clear" w:color="auto" w:fill="auto"/>
              </w:rPr>
              <w:t>项目名称</w:t>
            </w:r>
          </w:p>
        </w:tc>
        <w:tc>
          <w:tcPr>
            <w:tcW w:w="721" w:type="pct"/>
            <w:vAlign w:val="center"/>
          </w:tcPr>
          <w:p w14:paraId="176ECADB">
            <w:pPr>
              <w:pStyle w:val="34"/>
              <w:rPr>
                <w:b/>
                <w:shd w:val="clear" w:color="auto" w:fill="auto"/>
              </w:rPr>
            </w:pPr>
            <w:r>
              <w:rPr>
                <w:rFonts w:hint="eastAsia"/>
                <w:b/>
                <w:shd w:val="clear" w:color="auto" w:fill="auto"/>
              </w:rPr>
              <w:t>建设地点</w:t>
            </w:r>
          </w:p>
        </w:tc>
        <w:tc>
          <w:tcPr>
            <w:tcW w:w="1202" w:type="pct"/>
            <w:vAlign w:val="center"/>
          </w:tcPr>
          <w:p w14:paraId="1068EFF4">
            <w:pPr>
              <w:pStyle w:val="34"/>
              <w:rPr>
                <w:b/>
                <w:shd w:val="clear" w:color="auto" w:fill="auto"/>
              </w:rPr>
            </w:pPr>
            <w:r>
              <w:rPr>
                <w:rFonts w:hint="eastAsia"/>
                <w:b/>
                <w:shd w:val="clear" w:color="auto" w:fill="auto"/>
              </w:rPr>
              <w:t>治理面积</w:t>
            </w:r>
          </w:p>
        </w:tc>
        <w:tc>
          <w:tcPr>
            <w:tcW w:w="1312" w:type="pct"/>
            <w:vAlign w:val="center"/>
          </w:tcPr>
          <w:p w14:paraId="24CA268E">
            <w:pPr>
              <w:pStyle w:val="34"/>
              <w:rPr>
                <w:b/>
                <w:shd w:val="clear" w:color="auto" w:fill="auto"/>
              </w:rPr>
            </w:pPr>
            <w:r>
              <w:rPr>
                <w:rFonts w:hint="eastAsia"/>
                <w:b/>
                <w:shd w:val="clear" w:color="auto" w:fill="auto"/>
              </w:rPr>
              <w:t>具体措施</w:t>
            </w:r>
          </w:p>
        </w:tc>
      </w:tr>
      <w:tr w14:paraId="0930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restart"/>
            <w:vAlign w:val="center"/>
          </w:tcPr>
          <w:p w14:paraId="7D9D0EE7">
            <w:pPr>
              <w:pStyle w:val="34"/>
              <w:rPr>
                <w:b/>
                <w:shd w:val="clear" w:color="auto" w:fill="auto"/>
              </w:rPr>
            </w:pPr>
            <w:r>
              <w:rPr>
                <w:b/>
                <w:shd w:val="clear" w:color="auto" w:fill="auto"/>
              </w:rPr>
              <w:t>国家水土保持重点项目</w:t>
            </w:r>
          </w:p>
        </w:tc>
        <w:tc>
          <w:tcPr>
            <w:tcW w:w="1043" w:type="pct"/>
            <w:noWrap/>
            <w:vAlign w:val="center"/>
          </w:tcPr>
          <w:p w14:paraId="0D51A909">
            <w:pPr>
              <w:pStyle w:val="34"/>
              <w:rPr>
                <w:shd w:val="clear" w:color="auto" w:fill="auto"/>
              </w:rPr>
            </w:pPr>
            <w:r>
              <w:rPr>
                <w:rFonts w:hint="eastAsia"/>
                <w:shd w:val="clear" w:color="auto" w:fill="auto"/>
              </w:rPr>
              <w:t>包家沟小流域治理工程</w:t>
            </w:r>
          </w:p>
        </w:tc>
        <w:tc>
          <w:tcPr>
            <w:tcW w:w="721" w:type="pct"/>
            <w:noWrap/>
            <w:vAlign w:val="center"/>
          </w:tcPr>
          <w:p w14:paraId="10CE6E27">
            <w:pPr>
              <w:pStyle w:val="34"/>
              <w:rPr>
                <w:shd w:val="clear" w:color="auto" w:fill="auto"/>
              </w:rPr>
            </w:pPr>
            <w:r>
              <w:rPr>
                <w:rFonts w:hint="eastAsia"/>
                <w:shd w:val="clear" w:color="auto" w:fill="auto"/>
              </w:rPr>
              <w:t>永乐街办</w:t>
            </w:r>
          </w:p>
        </w:tc>
        <w:tc>
          <w:tcPr>
            <w:tcW w:w="1202" w:type="pct"/>
            <w:vAlign w:val="center"/>
          </w:tcPr>
          <w:p w14:paraId="5A648444">
            <w:pPr>
              <w:pStyle w:val="34"/>
              <w:jc w:val="both"/>
              <w:rPr>
                <w:shd w:val="clear" w:color="auto" w:fill="auto"/>
              </w:rPr>
            </w:pPr>
            <w:r>
              <w:rPr>
                <w:rFonts w:hint="eastAsia"/>
                <w:shd w:val="clear" w:color="auto" w:fill="auto"/>
              </w:rPr>
              <w:t>治理水土流失面积17平方千米。</w:t>
            </w:r>
          </w:p>
        </w:tc>
        <w:tc>
          <w:tcPr>
            <w:tcW w:w="1312" w:type="pct"/>
            <w:vMerge w:val="restart"/>
            <w:vAlign w:val="center"/>
          </w:tcPr>
          <w:p w14:paraId="5D330416">
            <w:pPr>
              <w:pStyle w:val="34"/>
              <w:jc w:val="both"/>
              <w:rPr>
                <w:shd w:val="clear" w:color="auto" w:fill="auto"/>
              </w:rPr>
            </w:pPr>
            <w:r>
              <w:rPr>
                <w:rFonts w:hint="eastAsia"/>
                <w:shd w:val="clear" w:color="auto" w:fill="auto"/>
              </w:rPr>
              <w:t>规划新修蓄水池18座、排灌沟渠14千米、田间道路25千米，谷坊126座、新修河堤24千米。规划包括增加管理人员5人、疏林补植85.5万株、制作封禁标志牌10个、设置网围栏8.5千米。</w:t>
            </w:r>
          </w:p>
        </w:tc>
      </w:tr>
      <w:tr w14:paraId="76B3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29DAA2EC">
            <w:pPr>
              <w:pStyle w:val="34"/>
              <w:rPr>
                <w:shd w:val="clear" w:color="auto" w:fill="auto"/>
              </w:rPr>
            </w:pPr>
          </w:p>
        </w:tc>
        <w:tc>
          <w:tcPr>
            <w:tcW w:w="1043" w:type="pct"/>
            <w:noWrap/>
            <w:vAlign w:val="center"/>
          </w:tcPr>
          <w:p w14:paraId="43A8FB52">
            <w:pPr>
              <w:pStyle w:val="34"/>
              <w:rPr>
                <w:shd w:val="clear" w:color="auto" w:fill="auto"/>
              </w:rPr>
            </w:pPr>
            <w:r>
              <w:rPr>
                <w:rFonts w:hint="eastAsia"/>
                <w:shd w:val="clear" w:color="auto" w:fill="auto"/>
              </w:rPr>
              <w:t>腰庄河小流域治理工程</w:t>
            </w:r>
          </w:p>
        </w:tc>
        <w:tc>
          <w:tcPr>
            <w:tcW w:w="721" w:type="pct"/>
            <w:noWrap/>
            <w:vAlign w:val="center"/>
          </w:tcPr>
          <w:p w14:paraId="44BE4C7C">
            <w:pPr>
              <w:pStyle w:val="34"/>
              <w:rPr>
                <w:shd w:val="clear" w:color="auto" w:fill="auto"/>
              </w:rPr>
            </w:pPr>
            <w:r>
              <w:rPr>
                <w:rFonts w:hint="eastAsia"/>
                <w:shd w:val="clear" w:color="auto" w:fill="auto"/>
              </w:rPr>
              <w:t>茅坪镇</w:t>
            </w:r>
          </w:p>
        </w:tc>
        <w:tc>
          <w:tcPr>
            <w:tcW w:w="1202" w:type="pct"/>
            <w:vAlign w:val="center"/>
          </w:tcPr>
          <w:p w14:paraId="538906C4">
            <w:pPr>
              <w:pStyle w:val="34"/>
              <w:jc w:val="both"/>
              <w:rPr>
                <w:shd w:val="clear" w:color="auto" w:fill="auto"/>
              </w:rPr>
            </w:pPr>
            <w:r>
              <w:rPr>
                <w:rFonts w:hint="eastAsia"/>
                <w:shd w:val="clear" w:color="auto" w:fill="auto"/>
              </w:rPr>
              <w:t>治理水土流失面积17平方千米。</w:t>
            </w:r>
          </w:p>
        </w:tc>
        <w:tc>
          <w:tcPr>
            <w:tcW w:w="1312" w:type="pct"/>
            <w:vMerge w:val="continue"/>
            <w:vAlign w:val="center"/>
          </w:tcPr>
          <w:p w14:paraId="4AD55F40">
            <w:pPr>
              <w:pStyle w:val="34"/>
              <w:jc w:val="both"/>
              <w:rPr>
                <w:shd w:val="clear" w:color="auto" w:fill="auto"/>
              </w:rPr>
            </w:pPr>
          </w:p>
        </w:tc>
      </w:tr>
      <w:tr w14:paraId="2C4C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700F8EE1">
            <w:pPr>
              <w:pStyle w:val="34"/>
              <w:rPr>
                <w:shd w:val="clear" w:color="auto" w:fill="auto"/>
              </w:rPr>
            </w:pPr>
          </w:p>
        </w:tc>
        <w:tc>
          <w:tcPr>
            <w:tcW w:w="1043" w:type="pct"/>
            <w:noWrap/>
            <w:vAlign w:val="center"/>
          </w:tcPr>
          <w:p w14:paraId="1FE941CE">
            <w:pPr>
              <w:pStyle w:val="34"/>
              <w:rPr>
                <w:shd w:val="clear" w:color="auto" w:fill="auto"/>
              </w:rPr>
            </w:pPr>
            <w:r>
              <w:rPr>
                <w:rFonts w:hint="eastAsia"/>
                <w:shd w:val="clear" w:color="auto" w:fill="auto"/>
              </w:rPr>
              <w:t>西川河小流域治理工程</w:t>
            </w:r>
          </w:p>
        </w:tc>
        <w:tc>
          <w:tcPr>
            <w:tcW w:w="721" w:type="pct"/>
            <w:noWrap/>
            <w:vAlign w:val="center"/>
          </w:tcPr>
          <w:p w14:paraId="528E3D3F">
            <w:pPr>
              <w:pStyle w:val="34"/>
              <w:rPr>
                <w:shd w:val="clear" w:color="auto" w:fill="auto"/>
              </w:rPr>
            </w:pPr>
            <w:r>
              <w:rPr>
                <w:rFonts w:hint="eastAsia"/>
                <w:shd w:val="clear" w:color="auto" w:fill="auto"/>
              </w:rPr>
              <w:t>月河镇</w:t>
            </w:r>
          </w:p>
        </w:tc>
        <w:tc>
          <w:tcPr>
            <w:tcW w:w="1202" w:type="pct"/>
            <w:vAlign w:val="center"/>
          </w:tcPr>
          <w:p w14:paraId="35D089AE">
            <w:pPr>
              <w:pStyle w:val="34"/>
              <w:jc w:val="both"/>
              <w:rPr>
                <w:shd w:val="clear" w:color="auto" w:fill="auto"/>
              </w:rPr>
            </w:pPr>
            <w:r>
              <w:rPr>
                <w:rFonts w:hint="eastAsia"/>
                <w:shd w:val="clear" w:color="auto" w:fill="auto"/>
              </w:rPr>
              <w:t>治理水土流失面积17平方千米。</w:t>
            </w:r>
          </w:p>
        </w:tc>
        <w:tc>
          <w:tcPr>
            <w:tcW w:w="1312" w:type="pct"/>
            <w:vMerge w:val="continue"/>
            <w:vAlign w:val="center"/>
          </w:tcPr>
          <w:p w14:paraId="1C3EB25A">
            <w:pPr>
              <w:pStyle w:val="34"/>
              <w:jc w:val="both"/>
              <w:rPr>
                <w:shd w:val="clear" w:color="auto" w:fill="auto"/>
              </w:rPr>
            </w:pPr>
          </w:p>
        </w:tc>
      </w:tr>
      <w:tr w14:paraId="4BC5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1E4E99A5">
            <w:pPr>
              <w:pStyle w:val="34"/>
              <w:rPr>
                <w:shd w:val="clear" w:color="auto" w:fill="auto"/>
              </w:rPr>
            </w:pPr>
          </w:p>
        </w:tc>
        <w:tc>
          <w:tcPr>
            <w:tcW w:w="1043" w:type="pct"/>
            <w:noWrap/>
            <w:vAlign w:val="center"/>
          </w:tcPr>
          <w:p w14:paraId="48691EAA">
            <w:pPr>
              <w:pStyle w:val="34"/>
              <w:rPr>
                <w:shd w:val="clear" w:color="auto" w:fill="auto"/>
              </w:rPr>
            </w:pPr>
            <w:r>
              <w:rPr>
                <w:rFonts w:hint="eastAsia"/>
                <w:shd w:val="clear" w:color="auto" w:fill="auto"/>
              </w:rPr>
              <w:t>姬家河小流域治理工程</w:t>
            </w:r>
          </w:p>
        </w:tc>
        <w:tc>
          <w:tcPr>
            <w:tcW w:w="721" w:type="pct"/>
            <w:noWrap/>
            <w:vAlign w:val="center"/>
          </w:tcPr>
          <w:p w14:paraId="03CA43CB">
            <w:pPr>
              <w:pStyle w:val="34"/>
              <w:rPr>
                <w:shd w:val="clear" w:color="auto" w:fill="auto"/>
              </w:rPr>
            </w:pPr>
            <w:r>
              <w:rPr>
                <w:rFonts w:hint="eastAsia"/>
                <w:shd w:val="clear" w:color="auto" w:fill="auto"/>
              </w:rPr>
              <w:t>铁厂镇</w:t>
            </w:r>
          </w:p>
        </w:tc>
        <w:tc>
          <w:tcPr>
            <w:tcW w:w="1202" w:type="pct"/>
            <w:vAlign w:val="center"/>
          </w:tcPr>
          <w:p w14:paraId="019762AB">
            <w:pPr>
              <w:pStyle w:val="34"/>
              <w:jc w:val="both"/>
              <w:rPr>
                <w:shd w:val="clear" w:color="auto" w:fill="auto"/>
              </w:rPr>
            </w:pPr>
            <w:r>
              <w:rPr>
                <w:rFonts w:hint="eastAsia"/>
                <w:shd w:val="clear" w:color="auto" w:fill="auto"/>
              </w:rPr>
              <w:t>治理水土流失面积17平方千米。</w:t>
            </w:r>
          </w:p>
        </w:tc>
        <w:tc>
          <w:tcPr>
            <w:tcW w:w="1312" w:type="pct"/>
            <w:vMerge w:val="continue"/>
            <w:vAlign w:val="center"/>
          </w:tcPr>
          <w:p w14:paraId="27B0FC22">
            <w:pPr>
              <w:pStyle w:val="34"/>
              <w:jc w:val="both"/>
              <w:rPr>
                <w:shd w:val="clear" w:color="auto" w:fill="auto"/>
              </w:rPr>
            </w:pPr>
          </w:p>
        </w:tc>
      </w:tr>
      <w:tr w14:paraId="5761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72AC594A">
            <w:pPr>
              <w:pStyle w:val="34"/>
              <w:rPr>
                <w:shd w:val="clear" w:color="auto" w:fill="auto"/>
              </w:rPr>
            </w:pPr>
          </w:p>
        </w:tc>
        <w:tc>
          <w:tcPr>
            <w:tcW w:w="1043" w:type="pct"/>
            <w:noWrap/>
            <w:vAlign w:val="center"/>
          </w:tcPr>
          <w:p w14:paraId="58EA6B1C">
            <w:pPr>
              <w:pStyle w:val="34"/>
              <w:rPr>
                <w:shd w:val="clear" w:color="auto" w:fill="auto"/>
              </w:rPr>
            </w:pPr>
            <w:r>
              <w:rPr>
                <w:rFonts w:hint="eastAsia"/>
                <w:shd w:val="clear" w:color="auto" w:fill="auto"/>
              </w:rPr>
              <w:t>龙胜沟小流域治理工程</w:t>
            </w:r>
          </w:p>
        </w:tc>
        <w:tc>
          <w:tcPr>
            <w:tcW w:w="721" w:type="pct"/>
            <w:noWrap/>
            <w:vAlign w:val="center"/>
          </w:tcPr>
          <w:p w14:paraId="341BFB7F">
            <w:pPr>
              <w:pStyle w:val="34"/>
              <w:rPr>
                <w:shd w:val="clear" w:color="auto" w:fill="auto"/>
              </w:rPr>
            </w:pPr>
            <w:r>
              <w:rPr>
                <w:rFonts w:hint="eastAsia"/>
                <w:shd w:val="clear" w:color="auto" w:fill="auto"/>
              </w:rPr>
              <w:t>青铜关镇</w:t>
            </w:r>
          </w:p>
        </w:tc>
        <w:tc>
          <w:tcPr>
            <w:tcW w:w="1202" w:type="pct"/>
            <w:vAlign w:val="center"/>
          </w:tcPr>
          <w:p w14:paraId="308C0750">
            <w:pPr>
              <w:pStyle w:val="34"/>
              <w:jc w:val="both"/>
              <w:rPr>
                <w:shd w:val="clear" w:color="auto" w:fill="auto"/>
              </w:rPr>
            </w:pPr>
            <w:r>
              <w:rPr>
                <w:rFonts w:hint="eastAsia"/>
                <w:shd w:val="clear" w:color="auto" w:fill="auto"/>
              </w:rPr>
              <w:t>治理水土流失面积17平方千米。</w:t>
            </w:r>
          </w:p>
        </w:tc>
        <w:tc>
          <w:tcPr>
            <w:tcW w:w="1312" w:type="pct"/>
            <w:vMerge w:val="continue"/>
            <w:vAlign w:val="center"/>
          </w:tcPr>
          <w:p w14:paraId="0701492E">
            <w:pPr>
              <w:pStyle w:val="34"/>
              <w:jc w:val="both"/>
              <w:rPr>
                <w:shd w:val="clear" w:color="auto" w:fill="auto"/>
              </w:rPr>
            </w:pPr>
          </w:p>
        </w:tc>
      </w:tr>
      <w:tr w14:paraId="0A8E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restart"/>
            <w:vAlign w:val="center"/>
          </w:tcPr>
          <w:p w14:paraId="42C67654">
            <w:pPr>
              <w:pStyle w:val="34"/>
              <w:rPr>
                <w:b/>
                <w:shd w:val="clear" w:color="auto" w:fill="auto"/>
              </w:rPr>
            </w:pPr>
            <w:r>
              <w:rPr>
                <w:rFonts w:hint="eastAsia"/>
                <w:b/>
                <w:shd w:val="clear" w:color="auto" w:fill="auto"/>
              </w:rPr>
              <w:t>黄土塬面保护项目</w:t>
            </w:r>
          </w:p>
        </w:tc>
        <w:tc>
          <w:tcPr>
            <w:tcW w:w="1043" w:type="pct"/>
            <w:noWrap/>
            <w:vAlign w:val="center"/>
          </w:tcPr>
          <w:p w14:paraId="52B63A33">
            <w:pPr>
              <w:pStyle w:val="34"/>
              <w:rPr>
                <w:shd w:val="clear" w:color="auto" w:fill="auto"/>
              </w:rPr>
            </w:pPr>
            <w:r>
              <w:rPr>
                <w:rFonts w:hint="eastAsia"/>
                <w:shd w:val="clear" w:color="auto" w:fill="auto"/>
              </w:rPr>
              <w:t>渔坪小流域治理工程</w:t>
            </w:r>
          </w:p>
        </w:tc>
        <w:tc>
          <w:tcPr>
            <w:tcW w:w="721" w:type="pct"/>
            <w:noWrap/>
            <w:vAlign w:val="center"/>
          </w:tcPr>
          <w:p w14:paraId="33E38D85">
            <w:pPr>
              <w:pStyle w:val="34"/>
              <w:rPr>
                <w:shd w:val="clear" w:color="auto" w:fill="auto"/>
              </w:rPr>
            </w:pPr>
            <w:r>
              <w:rPr>
                <w:rFonts w:hint="eastAsia"/>
                <w:shd w:val="clear" w:color="auto" w:fill="auto"/>
              </w:rPr>
              <w:t>高峰镇</w:t>
            </w:r>
          </w:p>
        </w:tc>
        <w:tc>
          <w:tcPr>
            <w:tcW w:w="1202" w:type="pct"/>
            <w:vAlign w:val="center"/>
          </w:tcPr>
          <w:p w14:paraId="3BB8FCBC">
            <w:pPr>
              <w:pStyle w:val="34"/>
              <w:jc w:val="both"/>
              <w:rPr>
                <w:shd w:val="clear" w:color="auto" w:fill="auto"/>
              </w:rPr>
            </w:pPr>
            <w:r>
              <w:rPr>
                <w:rFonts w:hint="eastAsia"/>
                <w:shd w:val="clear" w:color="auto" w:fill="auto"/>
              </w:rPr>
              <w:t>治理水土流失面积8平方千米。</w:t>
            </w:r>
          </w:p>
        </w:tc>
        <w:tc>
          <w:tcPr>
            <w:tcW w:w="1312" w:type="pct"/>
            <w:vMerge w:val="restart"/>
            <w:vAlign w:val="center"/>
          </w:tcPr>
          <w:p w14:paraId="42C494D5">
            <w:pPr>
              <w:pStyle w:val="34"/>
              <w:jc w:val="both"/>
              <w:rPr>
                <w:shd w:val="clear" w:color="auto" w:fill="auto"/>
              </w:rPr>
            </w:pPr>
            <w:r>
              <w:rPr>
                <w:rFonts w:hint="eastAsia"/>
                <w:shd w:val="clear" w:color="auto" w:fill="auto"/>
              </w:rPr>
              <w:t>规划新修蓄水池8座、排灌沟渠7千米、田间道路12千米、谷坊62座、新修河堤10千米。规划包括增加管理人员5人、疏林补植42.2万株、制作封禁标志牌10个、设置网围栏8千米。</w:t>
            </w:r>
          </w:p>
        </w:tc>
      </w:tr>
      <w:tr w14:paraId="37DD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1B13056C">
            <w:pPr>
              <w:pStyle w:val="34"/>
              <w:rPr>
                <w:b/>
                <w:shd w:val="clear" w:color="auto" w:fill="auto"/>
              </w:rPr>
            </w:pPr>
          </w:p>
        </w:tc>
        <w:tc>
          <w:tcPr>
            <w:tcW w:w="1043" w:type="pct"/>
            <w:noWrap/>
            <w:vAlign w:val="center"/>
          </w:tcPr>
          <w:p w14:paraId="43C3B595">
            <w:pPr>
              <w:pStyle w:val="34"/>
              <w:rPr>
                <w:shd w:val="clear" w:color="auto" w:fill="auto"/>
              </w:rPr>
            </w:pPr>
            <w:r>
              <w:rPr>
                <w:rFonts w:hint="eastAsia"/>
                <w:shd w:val="clear" w:color="auto" w:fill="auto"/>
              </w:rPr>
              <w:t>宝石小流域治理工程</w:t>
            </w:r>
          </w:p>
        </w:tc>
        <w:tc>
          <w:tcPr>
            <w:tcW w:w="721" w:type="pct"/>
            <w:noWrap/>
            <w:vAlign w:val="center"/>
          </w:tcPr>
          <w:p w14:paraId="4619FB8E">
            <w:pPr>
              <w:pStyle w:val="34"/>
              <w:rPr>
                <w:shd w:val="clear" w:color="auto" w:fill="auto"/>
              </w:rPr>
            </w:pPr>
            <w:r>
              <w:rPr>
                <w:rFonts w:hint="eastAsia"/>
                <w:shd w:val="clear" w:color="auto" w:fill="auto"/>
              </w:rPr>
              <w:t>西口镇</w:t>
            </w:r>
          </w:p>
        </w:tc>
        <w:tc>
          <w:tcPr>
            <w:tcW w:w="1202" w:type="pct"/>
            <w:vAlign w:val="center"/>
          </w:tcPr>
          <w:p w14:paraId="6DD45C09">
            <w:pPr>
              <w:pStyle w:val="34"/>
              <w:jc w:val="both"/>
              <w:rPr>
                <w:shd w:val="clear" w:color="auto" w:fill="auto"/>
              </w:rPr>
            </w:pPr>
            <w:r>
              <w:rPr>
                <w:rFonts w:hint="eastAsia"/>
                <w:shd w:val="clear" w:color="auto" w:fill="auto"/>
              </w:rPr>
              <w:t>治理水土流失面积8平方千米。</w:t>
            </w:r>
          </w:p>
        </w:tc>
        <w:tc>
          <w:tcPr>
            <w:tcW w:w="1312" w:type="pct"/>
            <w:vMerge w:val="continue"/>
            <w:vAlign w:val="center"/>
          </w:tcPr>
          <w:p w14:paraId="06DBC33A">
            <w:pPr>
              <w:pStyle w:val="34"/>
              <w:jc w:val="both"/>
              <w:rPr>
                <w:shd w:val="clear" w:color="auto" w:fill="auto"/>
              </w:rPr>
            </w:pPr>
          </w:p>
        </w:tc>
      </w:tr>
      <w:tr w14:paraId="08A6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3F366507">
            <w:pPr>
              <w:pStyle w:val="34"/>
              <w:rPr>
                <w:b/>
                <w:shd w:val="clear" w:color="auto" w:fill="auto"/>
              </w:rPr>
            </w:pPr>
          </w:p>
        </w:tc>
        <w:tc>
          <w:tcPr>
            <w:tcW w:w="1043" w:type="pct"/>
            <w:noWrap/>
            <w:vAlign w:val="center"/>
          </w:tcPr>
          <w:p w14:paraId="24CEA2C6">
            <w:pPr>
              <w:pStyle w:val="34"/>
              <w:rPr>
                <w:shd w:val="clear" w:color="auto" w:fill="auto"/>
              </w:rPr>
            </w:pPr>
            <w:r>
              <w:rPr>
                <w:rFonts w:hint="eastAsia"/>
                <w:shd w:val="clear" w:color="auto" w:fill="auto"/>
              </w:rPr>
              <w:t>米粮寺小流域治理工程</w:t>
            </w:r>
          </w:p>
        </w:tc>
        <w:tc>
          <w:tcPr>
            <w:tcW w:w="721" w:type="pct"/>
            <w:noWrap/>
            <w:vAlign w:val="center"/>
          </w:tcPr>
          <w:p w14:paraId="2647489E">
            <w:pPr>
              <w:pStyle w:val="34"/>
              <w:rPr>
                <w:shd w:val="clear" w:color="auto" w:fill="auto"/>
              </w:rPr>
            </w:pPr>
            <w:r>
              <w:rPr>
                <w:rFonts w:hint="eastAsia"/>
                <w:shd w:val="clear" w:color="auto" w:fill="auto"/>
              </w:rPr>
              <w:t>木王镇</w:t>
            </w:r>
          </w:p>
        </w:tc>
        <w:tc>
          <w:tcPr>
            <w:tcW w:w="1202" w:type="pct"/>
            <w:vAlign w:val="center"/>
          </w:tcPr>
          <w:p w14:paraId="17B9A234">
            <w:pPr>
              <w:pStyle w:val="34"/>
              <w:jc w:val="both"/>
              <w:rPr>
                <w:shd w:val="clear" w:color="auto" w:fill="auto"/>
              </w:rPr>
            </w:pPr>
            <w:r>
              <w:rPr>
                <w:rFonts w:hint="eastAsia"/>
                <w:shd w:val="clear" w:color="auto" w:fill="auto"/>
              </w:rPr>
              <w:t>治理水土流失面积8平方千米。</w:t>
            </w:r>
          </w:p>
        </w:tc>
        <w:tc>
          <w:tcPr>
            <w:tcW w:w="1312" w:type="pct"/>
            <w:vMerge w:val="continue"/>
            <w:vAlign w:val="center"/>
          </w:tcPr>
          <w:p w14:paraId="47905F56">
            <w:pPr>
              <w:pStyle w:val="34"/>
              <w:jc w:val="both"/>
              <w:rPr>
                <w:shd w:val="clear" w:color="auto" w:fill="auto"/>
              </w:rPr>
            </w:pPr>
          </w:p>
        </w:tc>
      </w:tr>
      <w:tr w14:paraId="3750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6B1DCC82">
            <w:pPr>
              <w:pStyle w:val="34"/>
              <w:rPr>
                <w:b/>
                <w:shd w:val="clear" w:color="auto" w:fill="auto"/>
              </w:rPr>
            </w:pPr>
          </w:p>
        </w:tc>
        <w:tc>
          <w:tcPr>
            <w:tcW w:w="1043" w:type="pct"/>
            <w:noWrap/>
            <w:vAlign w:val="center"/>
          </w:tcPr>
          <w:p w14:paraId="713B884A">
            <w:pPr>
              <w:pStyle w:val="34"/>
              <w:rPr>
                <w:shd w:val="clear" w:color="auto" w:fill="auto"/>
              </w:rPr>
            </w:pPr>
            <w:r>
              <w:rPr>
                <w:rFonts w:hint="eastAsia"/>
                <w:shd w:val="clear" w:color="auto" w:fill="auto"/>
              </w:rPr>
              <w:t>熊里沟小流域治理工程</w:t>
            </w:r>
          </w:p>
        </w:tc>
        <w:tc>
          <w:tcPr>
            <w:tcW w:w="721" w:type="pct"/>
            <w:noWrap/>
            <w:vAlign w:val="center"/>
          </w:tcPr>
          <w:p w14:paraId="13E882D6">
            <w:pPr>
              <w:pStyle w:val="34"/>
              <w:rPr>
                <w:shd w:val="clear" w:color="auto" w:fill="auto"/>
              </w:rPr>
            </w:pPr>
            <w:r>
              <w:rPr>
                <w:rFonts w:hint="eastAsia"/>
                <w:shd w:val="clear" w:color="auto" w:fill="auto"/>
              </w:rPr>
              <w:t>回龙镇</w:t>
            </w:r>
          </w:p>
        </w:tc>
        <w:tc>
          <w:tcPr>
            <w:tcW w:w="1202" w:type="pct"/>
            <w:vAlign w:val="center"/>
          </w:tcPr>
          <w:p w14:paraId="59EFFA45">
            <w:pPr>
              <w:pStyle w:val="34"/>
              <w:jc w:val="both"/>
              <w:rPr>
                <w:shd w:val="clear" w:color="auto" w:fill="auto"/>
              </w:rPr>
            </w:pPr>
            <w:r>
              <w:rPr>
                <w:rFonts w:hint="eastAsia"/>
                <w:shd w:val="clear" w:color="auto" w:fill="auto"/>
              </w:rPr>
              <w:t>治理水土流失面积8平方千米。</w:t>
            </w:r>
          </w:p>
        </w:tc>
        <w:tc>
          <w:tcPr>
            <w:tcW w:w="1312" w:type="pct"/>
            <w:vMerge w:val="continue"/>
            <w:vAlign w:val="center"/>
          </w:tcPr>
          <w:p w14:paraId="6661218D">
            <w:pPr>
              <w:pStyle w:val="34"/>
              <w:jc w:val="both"/>
              <w:rPr>
                <w:shd w:val="clear" w:color="auto" w:fill="auto"/>
              </w:rPr>
            </w:pPr>
          </w:p>
        </w:tc>
      </w:tr>
      <w:tr w14:paraId="37D6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38BC4A50">
            <w:pPr>
              <w:pStyle w:val="34"/>
              <w:rPr>
                <w:b/>
                <w:shd w:val="clear" w:color="auto" w:fill="auto"/>
              </w:rPr>
            </w:pPr>
          </w:p>
        </w:tc>
        <w:tc>
          <w:tcPr>
            <w:tcW w:w="1043" w:type="pct"/>
            <w:noWrap/>
            <w:vAlign w:val="center"/>
          </w:tcPr>
          <w:p w14:paraId="2A7BAD11">
            <w:pPr>
              <w:pStyle w:val="34"/>
              <w:rPr>
                <w:shd w:val="clear" w:color="auto" w:fill="auto"/>
              </w:rPr>
            </w:pPr>
            <w:r>
              <w:rPr>
                <w:rFonts w:hint="eastAsia"/>
                <w:shd w:val="clear" w:color="auto" w:fill="auto"/>
              </w:rPr>
              <w:t>余师小流域治理工程</w:t>
            </w:r>
          </w:p>
        </w:tc>
        <w:tc>
          <w:tcPr>
            <w:tcW w:w="721" w:type="pct"/>
            <w:noWrap/>
            <w:vAlign w:val="center"/>
          </w:tcPr>
          <w:p w14:paraId="65AB1C05">
            <w:pPr>
              <w:pStyle w:val="34"/>
              <w:rPr>
                <w:shd w:val="clear" w:color="auto" w:fill="auto"/>
              </w:rPr>
            </w:pPr>
            <w:r>
              <w:rPr>
                <w:rFonts w:hint="eastAsia"/>
                <w:shd w:val="clear" w:color="auto" w:fill="auto"/>
              </w:rPr>
              <w:t>柴坪镇</w:t>
            </w:r>
          </w:p>
        </w:tc>
        <w:tc>
          <w:tcPr>
            <w:tcW w:w="1202" w:type="pct"/>
            <w:vAlign w:val="center"/>
          </w:tcPr>
          <w:p w14:paraId="705EEA84">
            <w:pPr>
              <w:pStyle w:val="34"/>
              <w:jc w:val="both"/>
              <w:rPr>
                <w:shd w:val="clear" w:color="auto" w:fill="auto"/>
              </w:rPr>
            </w:pPr>
            <w:r>
              <w:rPr>
                <w:rFonts w:hint="eastAsia"/>
                <w:shd w:val="clear" w:color="auto" w:fill="auto"/>
              </w:rPr>
              <w:t>治理水土流失面积8平方千米。</w:t>
            </w:r>
          </w:p>
        </w:tc>
        <w:tc>
          <w:tcPr>
            <w:tcW w:w="1312" w:type="pct"/>
            <w:vMerge w:val="continue"/>
            <w:vAlign w:val="center"/>
          </w:tcPr>
          <w:p w14:paraId="0457D014">
            <w:pPr>
              <w:pStyle w:val="34"/>
              <w:jc w:val="both"/>
              <w:rPr>
                <w:shd w:val="clear" w:color="auto" w:fill="auto"/>
              </w:rPr>
            </w:pPr>
          </w:p>
        </w:tc>
      </w:tr>
      <w:tr w14:paraId="6885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restart"/>
            <w:vAlign w:val="center"/>
          </w:tcPr>
          <w:p w14:paraId="329A3B63">
            <w:pPr>
              <w:pStyle w:val="34"/>
              <w:rPr>
                <w:b/>
                <w:shd w:val="clear" w:color="auto" w:fill="auto"/>
              </w:rPr>
            </w:pPr>
            <w:r>
              <w:rPr>
                <w:b/>
                <w:shd w:val="clear" w:color="auto" w:fill="auto"/>
              </w:rPr>
              <w:t>水土保持补偿项目</w:t>
            </w:r>
          </w:p>
        </w:tc>
        <w:tc>
          <w:tcPr>
            <w:tcW w:w="1043" w:type="pct"/>
            <w:noWrap/>
            <w:vAlign w:val="center"/>
          </w:tcPr>
          <w:p w14:paraId="61E5022E">
            <w:pPr>
              <w:pStyle w:val="34"/>
              <w:rPr>
                <w:shd w:val="clear" w:color="auto" w:fill="auto"/>
              </w:rPr>
            </w:pPr>
            <w:r>
              <w:rPr>
                <w:rFonts w:hint="eastAsia"/>
                <w:shd w:val="clear" w:color="auto" w:fill="auto"/>
              </w:rPr>
              <w:t>连家沟小流域治理工程</w:t>
            </w:r>
          </w:p>
        </w:tc>
        <w:tc>
          <w:tcPr>
            <w:tcW w:w="721" w:type="pct"/>
            <w:noWrap/>
            <w:vAlign w:val="center"/>
          </w:tcPr>
          <w:p w14:paraId="299187E9">
            <w:pPr>
              <w:pStyle w:val="34"/>
              <w:rPr>
                <w:shd w:val="clear" w:color="auto" w:fill="auto"/>
              </w:rPr>
            </w:pPr>
            <w:r>
              <w:rPr>
                <w:rFonts w:hint="eastAsia"/>
                <w:shd w:val="clear" w:color="auto" w:fill="auto"/>
              </w:rPr>
              <w:t>高峰镇</w:t>
            </w:r>
          </w:p>
        </w:tc>
        <w:tc>
          <w:tcPr>
            <w:tcW w:w="1202" w:type="pct"/>
            <w:vAlign w:val="center"/>
          </w:tcPr>
          <w:p w14:paraId="4F17D062">
            <w:pPr>
              <w:pStyle w:val="34"/>
              <w:jc w:val="both"/>
              <w:rPr>
                <w:shd w:val="clear" w:color="auto" w:fill="auto"/>
              </w:rPr>
            </w:pPr>
            <w:r>
              <w:rPr>
                <w:rFonts w:hint="eastAsia"/>
                <w:shd w:val="clear" w:color="auto" w:fill="auto"/>
              </w:rPr>
              <w:t>治理水土流失面积7.5平方千米。</w:t>
            </w:r>
          </w:p>
        </w:tc>
        <w:tc>
          <w:tcPr>
            <w:tcW w:w="1312" w:type="pct"/>
            <w:vMerge w:val="restart"/>
            <w:vAlign w:val="center"/>
          </w:tcPr>
          <w:p w14:paraId="5FA2182A">
            <w:pPr>
              <w:pStyle w:val="34"/>
              <w:jc w:val="both"/>
              <w:rPr>
                <w:shd w:val="clear" w:color="auto" w:fill="auto"/>
              </w:rPr>
            </w:pPr>
            <w:r>
              <w:rPr>
                <w:rFonts w:hint="eastAsia"/>
                <w:shd w:val="clear" w:color="auto" w:fill="auto"/>
              </w:rPr>
              <w:t>规划新修蓄水池16座、排灌沟渠12千米、田间道路22千米、谷坊96座、新修河堤20千米。规划包括增加管理人员10人、疏林补植60.8万株、制作封禁标志牌15个、设置网围栏14千米。</w:t>
            </w:r>
          </w:p>
        </w:tc>
      </w:tr>
      <w:tr w14:paraId="10DD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7684EB74">
            <w:pPr>
              <w:pStyle w:val="34"/>
              <w:rPr>
                <w:shd w:val="clear" w:color="auto" w:fill="auto"/>
              </w:rPr>
            </w:pPr>
          </w:p>
        </w:tc>
        <w:tc>
          <w:tcPr>
            <w:tcW w:w="1043" w:type="pct"/>
            <w:noWrap/>
            <w:vAlign w:val="center"/>
          </w:tcPr>
          <w:p w14:paraId="6449AF5C">
            <w:pPr>
              <w:pStyle w:val="34"/>
              <w:rPr>
                <w:shd w:val="clear" w:color="auto" w:fill="auto"/>
              </w:rPr>
            </w:pPr>
            <w:r>
              <w:rPr>
                <w:rFonts w:hint="eastAsia"/>
                <w:shd w:val="clear" w:color="auto" w:fill="auto"/>
              </w:rPr>
              <w:t>东洞小流域治理工程</w:t>
            </w:r>
          </w:p>
        </w:tc>
        <w:tc>
          <w:tcPr>
            <w:tcW w:w="721" w:type="pct"/>
            <w:noWrap/>
            <w:vAlign w:val="center"/>
          </w:tcPr>
          <w:p w14:paraId="79D93DC0">
            <w:pPr>
              <w:pStyle w:val="34"/>
              <w:rPr>
                <w:shd w:val="clear" w:color="auto" w:fill="auto"/>
              </w:rPr>
            </w:pPr>
            <w:r>
              <w:rPr>
                <w:rFonts w:hint="eastAsia"/>
                <w:shd w:val="clear" w:color="auto" w:fill="auto"/>
              </w:rPr>
              <w:t>云盖寺镇</w:t>
            </w:r>
          </w:p>
        </w:tc>
        <w:tc>
          <w:tcPr>
            <w:tcW w:w="1202" w:type="pct"/>
            <w:vAlign w:val="center"/>
          </w:tcPr>
          <w:p w14:paraId="1E22ED15">
            <w:pPr>
              <w:pStyle w:val="34"/>
              <w:jc w:val="both"/>
              <w:rPr>
                <w:shd w:val="clear" w:color="auto" w:fill="auto"/>
              </w:rPr>
            </w:pPr>
            <w:r>
              <w:rPr>
                <w:rFonts w:hint="eastAsia"/>
                <w:shd w:val="clear" w:color="auto" w:fill="auto"/>
              </w:rPr>
              <w:t>治理水土流失面积7.5平方千米。</w:t>
            </w:r>
          </w:p>
        </w:tc>
        <w:tc>
          <w:tcPr>
            <w:tcW w:w="1312" w:type="pct"/>
            <w:vMerge w:val="continue"/>
            <w:vAlign w:val="center"/>
          </w:tcPr>
          <w:p w14:paraId="3CEDFBB2">
            <w:pPr>
              <w:pStyle w:val="34"/>
              <w:jc w:val="both"/>
              <w:rPr>
                <w:shd w:val="clear" w:color="auto" w:fill="auto"/>
              </w:rPr>
            </w:pPr>
          </w:p>
        </w:tc>
      </w:tr>
      <w:tr w14:paraId="2F81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24BF8514">
            <w:pPr>
              <w:pStyle w:val="34"/>
              <w:rPr>
                <w:shd w:val="clear" w:color="auto" w:fill="auto"/>
              </w:rPr>
            </w:pPr>
          </w:p>
        </w:tc>
        <w:tc>
          <w:tcPr>
            <w:tcW w:w="1043" w:type="pct"/>
            <w:noWrap/>
            <w:vAlign w:val="center"/>
          </w:tcPr>
          <w:p w14:paraId="62612814">
            <w:pPr>
              <w:pStyle w:val="34"/>
              <w:rPr>
                <w:shd w:val="clear" w:color="auto" w:fill="auto"/>
              </w:rPr>
            </w:pPr>
            <w:r>
              <w:rPr>
                <w:rFonts w:hint="eastAsia"/>
                <w:shd w:val="clear" w:color="auto" w:fill="auto"/>
              </w:rPr>
              <w:t>东川河小流域治理工程</w:t>
            </w:r>
          </w:p>
        </w:tc>
        <w:tc>
          <w:tcPr>
            <w:tcW w:w="721" w:type="pct"/>
            <w:noWrap/>
            <w:vAlign w:val="center"/>
          </w:tcPr>
          <w:p w14:paraId="444B82F9">
            <w:pPr>
              <w:pStyle w:val="34"/>
              <w:rPr>
                <w:shd w:val="clear" w:color="auto" w:fill="auto"/>
              </w:rPr>
            </w:pPr>
            <w:r>
              <w:rPr>
                <w:rFonts w:hint="eastAsia"/>
                <w:shd w:val="clear" w:color="auto" w:fill="auto"/>
              </w:rPr>
              <w:t>月河镇</w:t>
            </w:r>
          </w:p>
        </w:tc>
        <w:tc>
          <w:tcPr>
            <w:tcW w:w="1202" w:type="pct"/>
            <w:vAlign w:val="center"/>
          </w:tcPr>
          <w:p w14:paraId="1FEC6007">
            <w:pPr>
              <w:pStyle w:val="34"/>
              <w:jc w:val="both"/>
              <w:rPr>
                <w:shd w:val="clear" w:color="auto" w:fill="auto"/>
              </w:rPr>
            </w:pPr>
            <w:r>
              <w:rPr>
                <w:rFonts w:hint="eastAsia"/>
                <w:shd w:val="clear" w:color="auto" w:fill="auto"/>
              </w:rPr>
              <w:t>治理水土流失面积7.5平方千米。</w:t>
            </w:r>
          </w:p>
        </w:tc>
        <w:tc>
          <w:tcPr>
            <w:tcW w:w="1312" w:type="pct"/>
            <w:vMerge w:val="continue"/>
            <w:vAlign w:val="center"/>
          </w:tcPr>
          <w:p w14:paraId="4A2CB0A7">
            <w:pPr>
              <w:pStyle w:val="34"/>
              <w:jc w:val="both"/>
              <w:rPr>
                <w:shd w:val="clear" w:color="auto" w:fill="auto"/>
              </w:rPr>
            </w:pPr>
          </w:p>
        </w:tc>
      </w:tr>
      <w:tr w14:paraId="1C12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22CCB587">
            <w:pPr>
              <w:pStyle w:val="34"/>
              <w:rPr>
                <w:shd w:val="clear" w:color="auto" w:fill="auto"/>
              </w:rPr>
            </w:pPr>
          </w:p>
        </w:tc>
        <w:tc>
          <w:tcPr>
            <w:tcW w:w="1043" w:type="pct"/>
            <w:noWrap/>
            <w:vAlign w:val="center"/>
          </w:tcPr>
          <w:p w14:paraId="225CD0B7">
            <w:pPr>
              <w:pStyle w:val="34"/>
              <w:rPr>
                <w:shd w:val="clear" w:color="auto" w:fill="auto"/>
              </w:rPr>
            </w:pPr>
            <w:r>
              <w:rPr>
                <w:rFonts w:hint="eastAsia"/>
                <w:shd w:val="clear" w:color="auto" w:fill="auto"/>
              </w:rPr>
              <w:t>铁铜沟小流域治理工程</w:t>
            </w:r>
          </w:p>
        </w:tc>
        <w:tc>
          <w:tcPr>
            <w:tcW w:w="721" w:type="pct"/>
            <w:noWrap/>
            <w:vAlign w:val="center"/>
          </w:tcPr>
          <w:p w14:paraId="5DBFB9B2">
            <w:pPr>
              <w:pStyle w:val="34"/>
              <w:rPr>
                <w:shd w:val="clear" w:color="auto" w:fill="auto"/>
              </w:rPr>
            </w:pPr>
            <w:r>
              <w:rPr>
                <w:rFonts w:hint="eastAsia"/>
                <w:shd w:val="clear" w:color="auto" w:fill="auto"/>
              </w:rPr>
              <w:t>铁厂镇</w:t>
            </w:r>
          </w:p>
        </w:tc>
        <w:tc>
          <w:tcPr>
            <w:tcW w:w="1202" w:type="pct"/>
            <w:vAlign w:val="center"/>
          </w:tcPr>
          <w:p w14:paraId="1F43CADE">
            <w:pPr>
              <w:pStyle w:val="34"/>
              <w:jc w:val="both"/>
              <w:rPr>
                <w:shd w:val="clear" w:color="auto" w:fill="auto"/>
              </w:rPr>
            </w:pPr>
            <w:r>
              <w:rPr>
                <w:rFonts w:hint="eastAsia"/>
                <w:shd w:val="clear" w:color="auto" w:fill="auto"/>
              </w:rPr>
              <w:t>治理水土流失面积7.5平方千米。</w:t>
            </w:r>
          </w:p>
        </w:tc>
        <w:tc>
          <w:tcPr>
            <w:tcW w:w="1312" w:type="pct"/>
            <w:vMerge w:val="continue"/>
            <w:vAlign w:val="center"/>
          </w:tcPr>
          <w:p w14:paraId="06CA5B07">
            <w:pPr>
              <w:pStyle w:val="34"/>
              <w:jc w:val="both"/>
              <w:rPr>
                <w:shd w:val="clear" w:color="auto" w:fill="auto"/>
              </w:rPr>
            </w:pPr>
          </w:p>
        </w:tc>
      </w:tr>
      <w:tr w14:paraId="7D5B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186BE6B1">
            <w:pPr>
              <w:pStyle w:val="34"/>
              <w:rPr>
                <w:shd w:val="clear" w:color="auto" w:fill="auto"/>
              </w:rPr>
            </w:pPr>
          </w:p>
        </w:tc>
        <w:tc>
          <w:tcPr>
            <w:tcW w:w="1043" w:type="pct"/>
            <w:noWrap/>
            <w:vAlign w:val="center"/>
          </w:tcPr>
          <w:p w14:paraId="7E7DC0A8">
            <w:pPr>
              <w:pStyle w:val="34"/>
              <w:rPr>
                <w:shd w:val="clear" w:color="auto" w:fill="auto"/>
              </w:rPr>
            </w:pPr>
            <w:r>
              <w:rPr>
                <w:rFonts w:hint="eastAsia"/>
                <w:shd w:val="clear" w:color="auto" w:fill="auto"/>
              </w:rPr>
              <w:t>茨沟小流域治理工程</w:t>
            </w:r>
          </w:p>
        </w:tc>
        <w:tc>
          <w:tcPr>
            <w:tcW w:w="721" w:type="pct"/>
            <w:noWrap/>
            <w:vAlign w:val="center"/>
          </w:tcPr>
          <w:p w14:paraId="3954DB40">
            <w:pPr>
              <w:pStyle w:val="34"/>
              <w:rPr>
                <w:shd w:val="clear" w:color="auto" w:fill="auto"/>
              </w:rPr>
            </w:pPr>
            <w:r>
              <w:rPr>
                <w:rFonts w:hint="eastAsia"/>
                <w:shd w:val="clear" w:color="auto" w:fill="auto"/>
              </w:rPr>
              <w:t>青铜关镇</w:t>
            </w:r>
          </w:p>
        </w:tc>
        <w:tc>
          <w:tcPr>
            <w:tcW w:w="1202" w:type="pct"/>
            <w:vAlign w:val="center"/>
          </w:tcPr>
          <w:p w14:paraId="076C0796">
            <w:pPr>
              <w:pStyle w:val="34"/>
              <w:jc w:val="both"/>
              <w:rPr>
                <w:shd w:val="clear" w:color="auto" w:fill="auto"/>
              </w:rPr>
            </w:pPr>
            <w:r>
              <w:rPr>
                <w:rFonts w:hint="eastAsia"/>
                <w:shd w:val="clear" w:color="auto" w:fill="auto"/>
              </w:rPr>
              <w:t>治理水土流失面积7.5平方千米。</w:t>
            </w:r>
          </w:p>
        </w:tc>
        <w:tc>
          <w:tcPr>
            <w:tcW w:w="1312" w:type="pct"/>
            <w:vMerge w:val="continue"/>
            <w:vAlign w:val="center"/>
          </w:tcPr>
          <w:p w14:paraId="566BB718">
            <w:pPr>
              <w:pStyle w:val="34"/>
              <w:jc w:val="both"/>
              <w:rPr>
                <w:shd w:val="clear" w:color="auto" w:fill="auto"/>
              </w:rPr>
            </w:pPr>
          </w:p>
        </w:tc>
      </w:tr>
      <w:tr w14:paraId="6ADF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4C1F8853">
            <w:pPr>
              <w:pStyle w:val="34"/>
              <w:rPr>
                <w:shd w:val="clear" w:color="auto" w:fill="auto"/>
              </w:rPr>
            </w:pPr>
          </w:p>
        </w:tc>
        <w:tc>
          <w:tcPr>
            <w:tcW w:w="1043" w:type="pct"/>
            <w:noWrap/>
            <w:vAlign w:val="center"/>
          </w:tcPr>
          <w:p w14:paraId="70BDC35F">
            <w:pPr>
              <w:pStyle w:val="34"/>
              <w:rPr>
                <w:shd w:val="clear" w:color="auto" w:fill="auto"/>
              </w:rPr>
            </w:pPr>
            <w:r>
              <w:rPr>
                <w:rFonts w:hint="eastAsia"/>
                <w:shd w:val="clear" w:color="auto" w:fill="auto"/>
              </w:rPr>
              <w:t>锡铜沟小流域治理工程</w:t>
            </w:r>
          </w:p>
        </w:tc>
        <w:tc>
          <w:tcPr>
            <w:tcW w:w="721" w:type="pct"/>
            <w:noWrap/>
            <w:vAlign w:val="center"/>
          </w:tcPr>
          <w:p w14:paraId="6B588614">
            <w:pPr>
              <w:pStyle w:val="34"/>
              <w:rPr>
                <w:shd w:val="clear" w:color="auto" w:fill="auto"/>
              </w:rPr>
            </w:pPr>
            <w:r>
              <w:rPr>
                <w:rFonts w:hint="eastAsia"/>
                <w:shd w:val="clear" w:color="auto" w:fill="auto"/>
              </w:rPr>
              <w:t>永乐街</w:t>
            </w:r>
          </w:p>
          <w:p w14:paraId="3AFD10F1">
            <w:pPr>
              <w:pStyle w:val="34"/>
              <w:rPr>
                <w:shd w:val="clear" w:color="auto" w:fill="auto"/>
              </w:rPr>
            </w:pPr>
            <w:r>
              <w:rPr>
                <w:rFonts w:hint="eastAsia"/>
                <w:shd w:val="clear" w:color="auto" w:fill="auto"/>
              </w:rPr>
              <w:t>道办</w:t>
            </w:r>
          </w:p>
        </w:tc>
        <w:tc>
          <w:tcPr>
            <w:tcW w:w="1202" w:type="pct"/>
            <w:vAlign w:val="center"/>
          </w:tcPr>
          <w:p w14:paraId="197FCA17">
            <w:pPr>
              <w:pStyle w:val="34"/>
              <w:jc w:val="both"/>
              <w:rPr>
                <w:shd w:val="clear" w:color="auto" w:fill="auto"/>
              </w:rPr>
            </w:pPr>
            <w:r>
              <w:rPr>
                <w:rFonts w:hint="eastAsia"/>
                <w:shd w:val="clear" w:color="auto" w:fill="auto"/>
              </w:rPr>
              <w:t>治理水土流失面积7.5平方千米。</w:t>
            </w:r>
          </w:p>
        </w:tc>
        <w:tc>
          <w:tcPr>
            <w:tcW w:w="1312" w:type="pct"/>
            <w:vMerge w:val="continue"/>
            <w:vAlign w:val="center"/>
          </w:tcPr>
          <w:p w14:paraId="56789458">
            <w:pPr>
              <w:pStyle w:val="34"/>
              <w:jc w:val="both"/>
              <w:rPr>
                <w:shd w:val="clear" w:color="auto" w:fill="auto"/>
              </w:rPr>
            </w:pPr>
          </w:p>
        </w:tc>
      </w:tr>
      <w:tr w14:paraId="2277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279987DB">
            <w:pPr>
              <w:pStyle w:val="34"/>
              <w:rPr>
                <w:shd w:val="clear" w:color="auto" w:fill="auto"/>
              </w:rPr>
            </w:pPr>
          </w:p>
        </w:tc>
        <w:tc>
          <w:tcPr>
            <w:tcW w:w="1043" w:type="pct"/>
            <w:noWrap/>
            <w:vAlign w:val="center"/>
          </w:tcPr>
          <w:p w14:paraId="47FD9C9F">
            <w:pPr>
              <w:pStyle w:val="34"/>
              <w:rPr>
                <w:shd w:val="clear" w:color="auto" w:fill="auto"/>
              </w:rPr>
            </w:pPr>
            <w:r>
              <w:rPr>
                <w:rFonts w:hint="eastAsia"/>
                <w:shd w:val="clear" w:color="auto" w:fill="auto"/>
              </w:rPr>
              <w:t>门里沟小流域治理工程</w:t>
            </w:r>
          </w:p>
        </w:tc>
        <w:tc>
          <w:tcPr>
            <w:tcW w:w="721" w:type="pct"/>
            <w:noWrap/>
            <w:vAlign w:val="center"/>
          </w:tcPr>
          <w:p w14:paraId="676E6536">
            <w:pPr>
              <w:pStyle w:val="34"/>
              <w:rPr>
                <w:shd w:val="clear" w:color="auto" w:fill="auto"/>
              </w:rPr>
            </w:pPr>
            <w:r>
              <w:rPr>
                <w:rFonts w:hint="eastAsia"/>
                <w:shd w:val="clear" w:color="auto" w:fill="auto"/>
              </w:rPr>
              <w:t>米粮镇</w:t>
            </w:r>
          </w:p>
        </w:tc>
        <w:tc>
          <w:tcPr>
            <w:tcW w:w="1202" w:type="pct"/>
            <w:vAlign w:val="center"/>
          </w:tcPr>
          <w:p w14:paraId="112DC693">
            <w:pPr>
              <w:pStyle w:val="34"/>
              <w:jc w:val="both"/>
              <w:rPr>
                <w:shd w:val="clear" w:color="auto" w:fill="auto"/>
              </w:rPr>
            </w:pPr>
            <w:r>
              <w:rPr>
                <w:rFonts w:hint="eastAsia"/>
                <w:shd w:val="clear" w:color="auto" w:fill="auto"/>
              </w:rPr>
              <w:t>治理水土流失面积7.5平方千米。</w:t>
            </w:r>
          </w:p>
        </w:tc>
        <w:tc>
          <w:tcPr>
            <w:tcW w:w="1312" w:type="pct"/>
            <w:vMerge w:val="continue"/>
            <w:vAlign w:val="center"/>
          </w:tcPr>
          <w:p w14:paraId="2427B5D8">
            <w:pPr>
              <w:pStyle w:val="34"/>
              <w:jc w:val="both"/>
              <w:rPr>
                <w:shd w:val="clear" w:color="auto" w:fill="auto"/>
              </w:rPr>
            </w:pPr>
          </w:p>
        </w:tc>
      </w:tr>
      <w:tr w14:paraId="32F9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6B1AD19E">
            <w:pPr>
              <w:pStyle w:val="34"/>
              <w:rPr>
                <w:shd w:val="clear" w:color="auto" w:fill="auto"/>
              </w:rPr>
            </w:pPr>
          </w:p>
        </w:tc>
        <w:tc>
          <w:tcPr>
            <w:tcW w:w="1043" w:type="pct"/>
            <w:noWrap/>
            <w:vAlign w:val="center"/>
          </w:tcPr>
          <w:p w14:paraId="7EE88312">
            <w:pPr>
              <w:pStyle w:val="34"/>
              <w:rPr>
                <w:shd w:val="clear" w:color="auto" w:fill="auto"/>
              </w:rPr>
            </w:pPr>
            <w:r>
              <w:rPr>
                <w:rFonts w:hint="eastAsia"/>
                <w:shd w:val="clear" w:color="auto" w:fill="auto"/>
              </w:rPr>
              <w:t>老虎沟小流域治理工程</w:t>
            </w:r>
          </w:p>
        </w:tc>
        <w:tc>
          <w:tcPr>
            <w:tcW w:w="721" w:type="pct"/>
            <w:noWrap/>
            <w:vAlign w:val="center"/>
          </w:tcPr>
          <w:p w14:paraId="38F9404D">
            <w:pPr>
              <w:pStyle w:val="34"/>
              <w:rPr>
                <w:shd w:val="clear" w:color="auto" w:fill="auto"/>
              </w:rPr>
            </w:pPr>
            <w:r>
              <w:rPr>
                <w:rFonts w:hint="eastAsia"/>
                <w:shd w:val="clear" w:color="auto" w:fill="auto"/>
              </w:rPr>
              <w:t>大坪镇</w:t>
            </w:r>
          </w:p>
        </w:tc>
        <w:tc>
          <w:tcPr>
            <w:tcW w:w="1202" w:type="pct"/>
            <w:vAlign w:val="center"/>
          </w:tcPr>
          <w:p w14:paraId="4D24A011">
            <w:pPr>
              <w:pStyle w:val="34"/>
              <w:jc w:val="both"/>
              <w:rPr>
                <w:shd w:val="clear" w:color="auto" w:fill="auto"/>
              </w:rPr>
            </w:pPr>
            <w:r>
              <w:rPr>
                <w:rFonts w:hint="eastAsia"/>
                <w:shd w:val="clear" w:color="auto" w:fill="auto"/>
              </w:rPr>
              <w:t>治理水土流失面积7.5平方千米。</w:t>
            </w:r>
          </w:p>
        </w:tc>
        <w:tc>
          <w:tcPr>
            <w:tcW w:w="1312" w:type="pct"/>
            <w:vMerge w:val="continue"/>
            <w:vAlign w:val="center"/>
          </w:tcPr>
          <w:p w14:paraId="111D7AB4">
            <w:pPr>
              <w:pStyle w:val="34"/>
              <w:jc w:val="both"/>
              <w:rPr>
                <w:shd w:val="clear" w:color="auto" w:fill="auto"/>
              </w:rPr>
            </w:pPr>
          </w:p>
        </w:tc>
      </w:tr>
      <w:tr w14:paraId="3D78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17674487">
            <w:pPr>
              <w:pStyle w:val="34"/>
              <w:rPr>
                <w:shd w:val="clear" w:color="auto" w:fill="auto"/>
              </w:rPr>
            </w:pPr>
          </w:p>
        </w:tc>
        <w:tc>
          <w:tcPr>
            <w:tcW w:w="1043" w:type="pct"/>
            <w:noWrap/>
            <w:vAlign w:val="center"/>
          </w:tcPr>
          <w:p w14:paraId="6FBCAB0F">
            <w:pPr>
              <w:pStyle w:val="34"/>
              <w:rPr>
                <w:shd w:val="clear" w:color="auto" w:fill="auto"/>
              </w:rPr>
            </w:pPr>
            <w:r>
              <w:rPr>
                <w:rFonts w:hint="eastAsia"/>
                <w:shd w:val="clear" w:color="auto" w:fill="auto"/>
              </w:rPr>
              <w:t>达仁河小流域治理工程</w:t>
            </w:r>
          </w:p>
        </w:tc>
        <w:tc>
          <w:tcPr>
            <w:tcW w:w="721" w:type="pct"/>
            <w:noWrap/>
            <w:vAlign w:val="center"/>
          </w:tcPr>
          <w:p w14:paraId="33FB4B3F">
            <w:pPr>
              <w:pStyle w:val="34"/>
              <w:rPr>
                <w:shd w:val="clear" w:color="auto" w:fill="auto"/>
              </w:rPr>
            </w:pPr>
            <w:r>
              <w:rPr>
                <w:rFonts w:hint="eastAsia"/>
                <w:shd w:val="clear" w:color="auto" w:fill="auto"/>
              </w:rPr>
              <w:t>达仁镇</w:t>
            </w:r>
          </w:p>
        </w:tc>
        <w:tc>
          <w:tcPr>
            <w:tcW w:w="1202" w:type="pct"/>
            <w:vAlign w:val="center"/>
          </w:tcPr>
          <w:p w14:paraId="4A827FD6">
            <w:pPr>
              <w:pStyle w:val="34"/>
              <w:jc w:val="both"/>
              <w:rPr>
                <w:shd w:val="clear" w:color="auto" w:fill="auto"/>
              </w:rPr>
            </w:pPr>
            <w:r>
              <w:rPr>
                <w:rFonts w:hint="eastAsia"/>
                <w:shd w:val="clear" w:color="auto" w:fill="auto"/>
              </w:rPr>
              <w:t>治理水土流失面积7.5平方千米。</w:t>
            </w:r>
          </w:p>
        </w:tc>
        <w:tc>
          <w:tcPr>
            <w:tcW w:w="1312" w:type="pct"/>
            <w:vMerge w:val="continue"/>
            <w:vAlign w:val="center"/>
          </w:tcPr>
          <w:p w14:paraId="0B6F0751">
            <w:pPr>
              <w:pStyle w:val="34"/>
              <w:jc w:val="both"/>
              <w:rPr>
                <w:shd w:val="clear" w:color="auto" w:fill="auto"/>
              </w:rPr>
            </w:pPr>
          </w:p>
        </w:tc>
      </w:tr>
      <w:tr w14:paraId="461B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pct"/>
            <w:vMerge w:val="continue"/>
            <w:vAlign w:val="center"/>
          </w:tcPr>
          <w:p w14:paraId="4F47E178">
            <w:pPr>
              <w:pStyle w:val="34"/>
              <w:rPr>
                <w:shd w:val="clear" w:color="auto" w:fill="auto"/>
              </w:rPr>
            </w:pPr>
          </w:p>
        </w:tc>
        <w:tc>
          <w:tcPr>
            <w:tcW w:w="1043" w:type="pct"/>
            <w:noWrap/>
            <w:vAlign w:val="center"/>
          </w:tcPr>
          <w:p w14:paraId="13A188D8">
            <w:pPr>
              <w:pStyle w:val="34"/>
              <w:rPr>
                <w:shd w:val="clear" w:color="auto" w:fill="auto"/>
              </w:rPr>
            </w:pPr>
            <w:r>
              <w:rPr>
                <w:rFonts w:hint="eastAsia"/>
                <w:shd w:val="clear" w:color="auto" w:fill="auto"/>
              </w:rPr>
              <w:t>庙沟小流域治理工程</w:t>
            </w:r>
          </w:p>
        </w:tc>
        <w:tc>
          <w:tcPr>
            <w:tcW w:w="721" w:type="pct"/>
            <w:noWrap/>
            <w:vAlign w:val="center"/>
          </w:tcPr>
          <w:p w14:paraId="370B8E8D">
            <w:pPr>
              <w:pStyle w:val="34"/>
              <w:rPr>
                <w:shd w:val="clear" w:color="auto" w:fill="auto"/>
              </w:rPr>
            </w:pPr>
            <w:r>
              <w:rPr>
                <w:rFonts w:hint="eastAsia"/>
                <w:shd w:val="clear" w:color="auto" w:fill="auto"/>
              </w:rPr>
              <w:t>庙沟镇</w:t>
            </w:r>
          </w:p>
        </w:tc>
        <w:tc>
          <w:tcPr>
            <w:tcW w:w="1202" w:type="pct"/>
            <w:vAlign w:val="center"/>
          </w:tcPr>
          <w:p w14:paraId="51688705">
            <w:pPr>
              <w:pStyle w:val="34"/>
              <w:jc w:val="both"/>
              <w:rPr>
                <w:shd w:val="clear" w:color="auto" w:fill="auto"/>
              </w:rPr>
            </w:pPr>
            <w:r>
              <w:rPr>
                <w:rFonts w:hint="eastAsia"/>
                <w:shd w:val="clear" w:color="auto" w:fill="auto"/>
              </w:rPr>
              <w:t>治理水土流失面积7.5平方千米。</w:t>
            </w:r>
          </w:p>
        </w:tc>
        <w:tc>
          <w:tcPr>
            <w:tcW w:w="1312" w:type="pct"/>
            <w:vMerge w:val="continue"/>
            <w:vAlign w:val="center"/>
          </w:tcPr>
          <w:p w14:paraId="3210B5D1">
            <w:pPr>
              <w:pStyle w:val="34"/>
              <w:jc w:val="both"/>
              <w:rPr>
                <w:shd w:val="clear" w:color="auto" w:fill="auto"/>
              </w:rPr>
            </w:pPr>
          </w:p>
        </w:tc>
      </w:tr>
    </w:tbl>
    <w:p w14:paraId="34CA95BE">
      <w:pPr>
        <w:pStyle w:val="32"/>
        <w:spacing w:before="156" w:after="156"/>
        <w:ind w:firstLine="640"/>
        <w:rPr>
          <w:shd w:val="clear" w:color="auto" w:fill="auto"/>
        </w:rPr>
      </w:pPr>
      <w:bookmarkStart w:id="29" w:name="_Toc59298947"/>
      <w:r>
        <w:rPr>
          <w:shd w:val="clear" w:color="auto" w:fill="auto"/>
        </w:rPr>
        <w:t>四</w:t>
      </w:r>
      <w:r>
        <w:rPr>
          <w:rFonts w:hint="eastAsia"/>
          <w:shd w:val="clear" w:color="auto" w:fill="auto"/>
        </w:rPr>
        <w:t>、强化流域污染防治工作</w:t>
      </w:r>
      <w:bookmarkEnd w:id="29"/>
    </w:p>
    <w:p w14:paraId="490AFB5B">
      <w:pPr>
        <w:pStyle w:val="29"/>
        <w:spacing w:before="156" w:after="156"/>
        <w:ind w:firstLine="643"/>
        <w:rPr>
          <w:shd w:val="clear" w:color="auto" w:fill="auto"/>
        </w:rPr>
      </w:pPr>
      <w:r>
        <w:rPr>
          <w:rFonts w:hint="eastAsia"/>
          <w:shd w:val="clear" w:color="auto" w:fill="auto"/>
        </w:rPr>
        <w:t>（一）加强河道采砂管理</w:t>
      </w:r>
    </w:p>
    <w:p w14:paraId="45599E1C">
      <w:pPr>
        <w:pStyle w:val="22"/>
        <w:ind w:firstLine="640"/>
        <w:rPr>
          <w:shd w:val="clear" w:color="auto" w:fill="auto"/>
        </w:rPr>
      </w:pPr>
      <w:r>
        <w:rPr>
          <w:rFonts w:hint="eastAsia"/>
          <w:shd w:val="clear" w:color="auto" w:fill="auto"/>
        </w:rPr>
        <w:t>持续开展乾佑河流域、旬河流域、达仁河流域、滑水河流域四条主要河流及支流河道采砂专项整治，完善河道违法违规采砂问题“查、认、改、罚”查处机制。完善河道采砂信息化管理，依托“互联网+”技术，充分利用北斗精准定位系统，建立河砂开采源头、砂场经营场所电子围栏和监控系统，实时联网监控。</w:t>
      </w:r>
      <w:r>
        <w:rPr>
          <w:rFonts w:hint="eastAsia"/>
          <w:b/>
          <w:shd w:val="clear" w:color="auto" w:fill="auto"/>
        </w:rPr>
        <w:t>（责任单位：县水利局）</w:t>
      </w:r>
    </w:p>
    <w:p w14:paraId="1A138006">
      <w:pPr>
        <w:pStyle w:val="29"/>
        <w:spacing w:before="156" w:after="156"/>
        <w:ind w:firstLine="643"/>
        <w:rPr>
          <w:shd w:val="clear" w:color="auto" w:fill="auto"/>
        </w:rPr>
      </w:pPr>
      <w:r>
        <w:rPr>
          <w:rFonts w:hint="eastAsia"/>
          <w:shd w:val="clear" w:color="auto" w:fill="auto"/>
        </w:rPr>
        <w:t>（二）深化入河排污口整治</w:t>
      </w:r>
    </w:p>
    <w:p w14:paraId="79233693">
      <w:pPr>
        <w:pStyle w:val="22"/>
        <w:ind w:firstLine="640"/>
        <w:rPr>
          <w:shd w:val="clear" w:color="auto" w:fill="auto"/>
        </w:rPr>
      </w:pPr>
      <w:r>
        <w:rPr>
          <w:shd w:val="clear" w:color="auto" w:fill="auto"/>
        </w:rPr>
        <w:t>持续推进入河排污口排查工作</w:t>
      </w:r>
      <w:r>
        <w:rPr>
          <w:rFonts w:hint="eastAsia"/>
          <w:shd w:val="clear" w:color="auto" w:fill="auto"/>
        </w:rPr>
        <w:t>，</w:t>
      </w:r>
      <w:r>
        <w:rPr>
          <w:shd w:val="clear" w:color="auto" w:fill="auto"/>
        </w:rPr>
        <w:t>制定排污口整治方案</w:t>
      </w:r>
      <w:r>
        <w:rPr>
          <w:rFonts w:hint="eastAsia"/>
          <w:shd w:val="clear" w:color="auto" w:fill="auto"/>
        </w:rPr>
        <w:t>。</w:t>
      </w:r>
      <w:r>
        <w:rPr>
          <w:shd w:val="clear" w:color="auto" w:fill="auto"/>
        </w:rPr>
        <w:t>完善入河排污口清单</w:t>
      </w:r>
      <w:r>
        <w:rPr>
          <w:rFonts w:hint="eastAsia"/>
          <w:shd w:val="clear" w:color="auto" w:fill="auto"/>
        </w:rPr>
        <w:t>，</w:t>
      </w:r>
      <w:r>
        <w:rPr>
          <w:shd w:val="clear" w:color="auto" w:fill="auto"/>
        </w:rPr>
        <w:t>开展重点入河排污口监测与溯源分析</w:t>
      </w:r>
      <w:r>
        <w:rPr>
          <w:rFonts w:hint="eastAsia"/>
          <w:shd w:val="clear" w:color="auto" w:fill="auto"/>
        </w:rPr>
        <w:t>，</w:t>
      </w:r>
      <w:r>
        <w:rPr>
          <w:shd w:val="clear" w:color="auto" w:fill="auto"/>
        </w:rPr>
        <w:t>有序推进入河排污口清理整治</w:t>
      </w:r>
      <w:r>
        <w:rPr>
          <w:rFonts w:hint="eastAsia"/>
          <w:shd w:val="clear" w:color="auto" w:fill="auto"/>
        </w:rPr>
        <w:t>。对现有登记的入河湖排污口进行规范化标准化改造，设置标识牌、缓冲堰板等；对未经过审批登记的非法排污口，应当全部取缔、封堵；对饮用水水源保护区、自然保护区等的入河排污口应当全部拆除关闭。</w:t>
      </w:r>
      <w:r>
        <w:rPr>
          <w:rFonts w:hint="eastAsia"/>
          <w:b/>
          <w:shd w:val="clear" w:color="auto" w:fill="auto"/>
        </w:rPr>
        <w:t>（责任单位：县环境局）</w:t>
      </w:r>
    </w:p>
    <w:p w14:paraId="56F1A1C8">
      <w:pPr>
        <w:pStyle w:val="29"/>
        <w:spacing w:before="156" w:after="156"/>
        <w:ind w:firstLine="643"/>
        <w:rPr>
          <w:shd w:val="clear" w:color="auto" w:fill="auto"/>
        </w:rPr>
      </w:pPr>
      <w:r>
        <w:rPr>
          <w:rFonts w:hint="eastAsia"/>
          <w:shd w:val="clear" w:color="auto" w:fill="auto"/>
        </w:rPr>
        <w:t>（三）加强河湖水生态修复</w:t>
      </w:r>
    </w:p>
    <w:p w14:paraId="0ED86394">
      <w:pPr>
        <w:pStyle w:val="22"/>
        <w:ind w:firstLine="640"/>
        <w:rPr>
          <w:b/>
          <w:shd w:val="clear" w:color="auto" w:fill="auto"/>
        </w:rPr>
      </w:pPr>
      <w:r>
        <w:rPr>
          <w:shd w:val="clear" w:color="auto" w:fill="auto"/>
        </w:rPr>
        <w:t>持续开展旬河</w:t>
      </w:r>
      <w:r>
        <w:rPr>
          <w:rFonts w:hint="eastAsia"/>
          <w:shd w:val="clear" w:color="auto" w:fill="auto"/>
        </w:rPr>
        <w:t>、</w:t>
      </w:r>
      <w:r>
        <w:rPr>
          <w:shd w:val="clear" w:color="auto" w:fill="auto"/>
        </w:rPr>
        <w:t>乾佑河等河湖岸线划定工作</w:t>
      </w:r>
      <w:r>
        <w:rPr>
          <w:rFonts w:hint="eastAsia"/>
          <w:shd w:val="clear" w:color="auto" w:fill="auto"/>
        </w:rPr>
        <w:t>，</w:t>
      </w:r>
      <w:r>
        <w:rPr>
          <w:shd w:val="clear" w:color="auto" w:fill="auto"/>
        </w:rPr>
        <w:t>完成</w:t>
      </w:r>
      <w:r>
        <w:rPr>
          <w:rFonts w:hint="eastAsia"/>
          <w:shd w:val="clear" w:color="auto" w:fill="auto"/>
        </w:rPr>
        <w:t>“一河一档</w:t>
      </w:r>
      <w:r>
        <w:rPr>
          <w:rFonts w:hint="eastAsia"/>
          <w:shd w:val="clear" w:color="auto" w:fill="auto"/>
          <w:lang w:eastAsia="zh-CN"/>
        </w:rPr>
        <w:t>”“</w:t>
      </w:r>
      <w:r>
        <w:rPr>
          <w:rFonts w:hint="eastAsia"/>
          <w:shd w:val="clear" w:color="auto" w:fill="auto"/>
        </w:rPr>
        <w:t>一河一策”方案编制工作。以自然河湖水系、调蓄工程为依托，实施重要水系连通工程，开展重点流域水生态修复，保障河流生态水量，提高水生态系统功能。加强河道岸线管控，在河道、湖泊管理范围内，禁止围河（湖）造田、挖田造湖；禁止违规修建房屋等建筑物（构筑物）、存放物料；禁止擅自搭建旅游、渔业设施；禁止堆放、倾倒、掩埋、排放污染水体的物体；禁止其他危害河岸堤防安全及影响行洪安全的行为。综合运用河道治理、清淤疏浚、自然修复、截污治污等措施，推进生态敏感区、生态脆弱区、重要生境和生态功能受损河湖的生态修复。加强农村河道堰塘整治，改善农村人居环境和河流生态。</w:t>
      </w:r>
      <w:r>
        <w:rPr>
          <w:rFonts w:hint="eastAsia"/>
          <w:b/>
          <w:shd w:val="clear" w:color="auto" w:fill="auto"/>
        </w:rPr>
        <w:t>（责任单位：县水利局、县环境局）</w:t>
      </w:r>
    </w:p>
    <w:p w14:paraId="564693E9">
      <w:pPr>
        <w:pStyle w:val="22"/>
        <w:ind w:firstLine="640"/>
        <w:rPr>
          <w:shd w:val="clear" w:color="auto" w:fill="auto"/>
        </w:rPr>
      </w:pPr>
    </w:p>
    <w:p w14:paraId="010DE806">
      <w:pPr>
        <w:pStyle w:val="32"/>
        <w:spacing w:before="156" w:after="156"/>
        <w:ind w:firstLine="640"/>
        <w:rPr>
          <w:shd w:val="clear" w:color="auto" w:fill="auto"/>
        </w:rPr>
      </w:pPr>
      <w:bookmarkStart w:id="30" w:name="_Toc59298948"/>
      <w:r>
        <w:rPr>
          <w:shd w:val="clear" w:color="auto" w:fill="auto"/>
        </w:rPr>
        <w:t>五</w:t>
      </w:r>
      <w:r>
        <w:rPr>
          <w:rFonts w:hint="eastAsia"/>
          <w:shd w:val="clear" w:color="auto" w:fill="auto"/>
        </w:rPr>
        <w:t>、</w:t>
      </w:r>
      <w:r>
        <w:rPr>
          <w:shd w:val="clear" w:color="auto" w:fill="auto"/>
        </w:rPr>
        <w:t>加强水资源节约集约利用</w:t>
      </w:r>
      <w:bookmarkEnd w:id="30"/>
    </w:p>
    <w:p w14:paraId="1BDBB76A">
      <w:pPr>
        <w:pStyle w:val="29"/>
        <w:spacing w:before="156" w:after="156"/>
        <w:ind w:firstLine="643"/>
        <w:rPr>
          <w:shd w:val="clear" w:color="auto" w:fill="auto"/>
        </w:rPr>
      </w:pPr>
      <w:r>
        <w:rPr>
          <w:rFonts w:hint="eastAsia"/>
          <w:shd w:val="clear" w:color="auto" w:fill="auto"/>
        </w:rPr>
        <w:t>（一）加强用水总量和强度双控</w:t>
      </w:r>
    </w:p>
    <w:p w14:paraId="5718280F">
      <w:pPr>
        <w:pStyle w:val="22"/>
        <w:ind w:firstLine="640"/>
        <w:rPr>
          <w:shd w:val="clear" w:color="auto" w:fill="auto"/>
        </w:rPr>
      </w:pPr>
      <w:r>
        <w:rPr>
          <w:rFonts w:hint="eastAsia"/>
          <w:shd w:val="clear" w:color="auto" w:fill="auto"/>
        </w:rPr>
        <w:t>严控水资源开发利用强度，完善规划和建设项目水资源论证制度和节水评价机制，以水定城、以水定地、以水定人、以水定产，合理确定经济布局、结构和规模。严格实行取水许可制度，加强对重点用水户、特殊用水行业用水户的监督管理。健全县级用水总量、用水强度控制指标体系，强化节水约束性指标管理，落实主要行业水量分配指标。逐步建立节水目标责任制，依据计划用水、节水目标要求，将水资源节约和保护的主要指标纳入经济社会发展综合评价体系，实行最严格水资源管理制度考核。</w:t>
      </w:r>
    </w:p>
    <w:p w14:paraId="54C5BD63">
      <w:pPr>
        <w:pStyle w:val="29"/>
        <w:spacing w:before="156" w:after="156"/>
        <w:ind w:firstLine="643"/>
        <w:rPr>
          <w:shd w:val="clear" w:color="auto" w:fill="auto"/>
        </w:rPr>
      </w:pPr>
      <w:r>
        <w:rPr>
          <w:rFonts w:hint="eastAsia"/>
          <w:shd w:val="clear" w:color="auto" w:fill="auto"/>
        </w:rPr>
        <w:t>（二）推进重点领域节水增效</w:t>
      </w:r>
    </w:p>
    <w:p w14:paraId="40FF550F">
      <w:pPr>
        <w:pStyle w:val="22"/>
        <w:ind w:firstLine="640"/>
        <w:rPr>
          <w:shd w:val="clear" w:color="auto" w:fill="auto"/>
        </w:rPr>
      </w:pPr>
      <w:r>
        <w:rPr>
          <w:rFonts w:hint="eastAsia"/>
          <w:shd w:val="clear" w:color="auto" w:fill="auto"/>
        </w:rPr>
        <w:t>加大田间节水设施建设力度，推广喷灌、微灌、滴灌、低压管道输水灌溉、集雨补灌、覆盖保墒等技术。大力推进工业节水改造，完善供用水计量体系和在线监测系统，强化生产用水管理；严格控制高耗水新建、改建、扩建项目，推进高耗水企业向水资源条件允许的工业园区集中。全面推进节水型城市建设，加快制定和实施供水管网改造建设实施方案，完善供水管网查漏制度；重点抓好污水再生利用设施建设与改造，提升再生水利用水平。</w:t>
      </w:r>
    </w:p>
    <w:p w14:paraId="37E6A8F5">
      <w:pPr>
        <w:pStyle w:val="22"/>
        <w:ind w:firstLine="643"/>
        <w:rPr>
          <w:b/>
          <w:shd w:val="clear" w:color="auto" w:fill="auto"/>
        </w:rPr>
      </w:pPr>
      <w:r>
        <w:rPr>
          <w:rFonts w:hint="eastAsia"/>
          <w:b/>
          <w:shd w:val="clear" w:color="auto" w:fill="auto"/>
        </w:rPr>
        <w:t>牵头单位：县水利局；配合单位：县审批局、县环境局、县经贸局、县农业农村局、工业集中区管委会</w:t>
      </w:r>
    </w:p>
    <w:p w14:paraId="43ED09FA">
      <w:pPr>
        <w:pStyle w:val="22"/>
        <w:ind w:firstLine="643"/>
        <w:rPr>
          <w:b/>
          <w:shd w:val="clear" w:color="auto" w:fill="auto"/>
        </w:rPr>
      </w:pPr>
    </w:p>
    <w:p w14:paraId="4C8F7D1D">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37BF9D2C">
      <w:pPr>
        <w:pStyle w:val="26"/>
        <w:spacing w:before="312" w:after="312"/>
        <w:rPr>
          <w:shd w:val="clear" w:color="auto" w:fill="auto"/>
        </w:rPr>
      </w:pPr>
      <w:bookmarkStart w:id="31" w:name="_Toc59298949"/>
      <w:r>
        <w:rPr>
          <w:rFonts w:hint="eastAsia"/>
          <w:shd w:val="clear" w:color="auto" w:fill="auto"/>
        </w:rPr>
        <w:t xml:space="preserve">第七章 </w:t>
      </w:r>
      <w:r>
        <w:rPr>
          <w:shd w:val="clear" w:color="auto" w:fill="auto"/>
        </w:rPr>
        <w:t xml:space="preserve"> </w:t>
      </w:r>
      <w:r>
        <w:rPr>
          <w:rFonts w:hint="eastAsia"/>
          <w:shd w:val="clear" w:color="auto" w:fill="auto"/>
        </w:rPr>
        <w:t>加强</w:t>
      </w:r>
      <w:r>
        <w:rPr>
          <w:shd w:val="clear" w:color="auto" w:fill="auto"/>
        </w:rPr>
        <w:t>生物多样性保护</w:t>
      </w:r>
      <w:r>
        <w:rPr>
          <w:rFonts w:hint="eastAsia"/>
          <w:shd w:val="clear" w:color="auto" w:fill="auto"/>
        </w:rPr>
        <w:t>，</w:t>
      </w:r>
      <w:r>
        <w:rPr>
          <w:shd w:val="clear" w:color="auto" w:fill="auto"/>
        </w:rPr>
        <w:t>提升物种丰富度</w:t>
      </w:r>
      <w:bookmarkEnd w:id="31"/>
    </w:p>
    <w:p w14:paraId="4CFD8071">
      <w:pPr>
        <w:pStyle w:val="22"/>
        <w:ind w:firstLine="640"/>
        <w:rPr>
          <w:shd w:val="clear" w:color="auto" w:fill="auto"/>
        </w:rPr>
      </w:pPr>
      <w:r>
        <w:rPr>
          <w:rFonts w:hint="eastAsia"/>
          <w:shd w:val="clear" w:color="auto" w:fill="auto"/>
        </w:rPr>
        <w:t>以开展生物多样性本底调查为基础，以自然保护地和生态廊道建设为支撑，保持和恢复野生动植物物种种群平衡，保护自然生态系统和重要物种栖息地的完整性与连通性，防止生态建设对栖息地的破坏，实现野生动植物资源的良性更新和持续利用。</w:t>
      </w:r>
    </w:p>
    <w:p w14:paraId="343558A0">
      <w:pPr>
        <w:pStyle w:val="32"/>
        <w:spacing w:before="156" w:after="156"/>
        <w:ind w:firstLine="640"/>
        <w:rPr>
          <w:shd w:val="clear" w:color="auto" w:fill="auto"/>
        </w:rPr>
      </w:pPr>
      <w:bookmarkStart w:id="32" w:name="_Toc59298950"/>
      <w:r>
        <w:rPr>
          <w:shd w:val="clear" w:color="auto" w:fill="auto"/>
        </w:rPr>
        <w:t>一</w:t>
      </w:r>
      <w:r>
        <w:rPr>
          <w:rFonts w:hint="eastAsia"/>
          <w:shd w:val="clear" w:color="auto" w:fill="auto"/>
        </w:rPr>
        <w:t>、加强野生动植物保护</w:t>
      </w:r>
      <w:bookmarkEnd w:id="32"/>
    </w:p>
    <w:p w14:paraId="7D95C957">
      <w:pPr>
        <w:pStyle w:val="29"/>
        <w:spacing w:before="156" w:after="156"/>
        <w:ind w:firstLine="643"/>
        <w:rPr>
          <w:shd w:val="clear" w:color="auto" w:fill="auto"/>
        </w:rPr>
      </w:pPr>
      <w:r>
        <w:rPr>
          <w:rFonts w:hint="eastAsia"/>
          <w:shd w:val="clear" w:color="auto" w:fill="auto"/>
        </w:rPr>
        <w:t>（一）开展生物多样性本底调查</w:t>
      </w:r>
    </w:p>
    <w:p w14:paraId="7659F8ED">
      <w:pPr>
        <w:pStyle w:val="22"/>
        <w:ind w:firstLine="640"/>
        <w:rPr>
          <w:shd w:val="clear" w:color="auto" w:fill="auto"/>
        </w:rPr>
      </w:pPr>
      <w:r>
        <w:rPr>
          <w:rFonts w:hint="eastAsia"/>
          <w:shd w:val="clear" w:color="auto" w:fill="auto"/>
        </w:rPr>
        <w:t>重点开展全县生物多样性状况评估、重点区域生物多样性调查观测和评估、重点物种和生物遗传资源调查与评估等。</w:t>
      </w:r>
      <w:r>
        <w:rPr>
          <w:shd w:val="clear" w:color="auto" w:fill="auto"/>
        </w:rPr>
        <w:t>委托有关科研机构对秦岭野生动物及其栖息地</w:t>
      </w:r>
      <w:r>
        <w:rPr>
          <w:rFonts w:hint="eastAsia"/>
          <w:shd w:val="clear" w:color="auto" w:fill="auto"/>
        </w:rPr>
        <w:t>、</w:t>
      </w:r>
      <w:r>
        <w:rPr>
          <w:shd w:val="clear" w:color="auto" w:fill="auto"/>
        </w:rPr>
        <w:t>野生植物及其生长环境状况进行调查</w:t>
      </w:r>
      <w:r>
        <w:rPr>
          <w:rFonts w:hint="eastAsia"/>
          <w:shd w:val="clear" w:color="auto" w:fill="auto"/>
        </w:rPr>
        <w:t>、</w:t>
      </w:r>
      <w:r>
        <w:rPr>
          <w:shd w:val="clear" w:color="auto" w:fill="auto"/>
        </w:rPr>
        <w:t>监测和评估</w:t>
      </w:r>
      <w:r>
        <w:rPr>
          <w:rFonts w:hint="eastAsia"/>
          <w:shd w:val="clear" w:color="auto" w:fill="auto"/>
        </w:rPr>
        <w:t>，</w:t>
      </w:r>
      <w:r>
        <w:rPr>
          <w:shd w:val="clear" w:color="auto" w:fill="auto"/>
        </w:rPr>
        <w:t>建立秦岭野生动植物及其栖息地</w:t>
      </w:r>
      <w:r>
        <w:rPr>
          <w:rFonts w:hint="eastAsia"/>
          <w:shd w:val="clear" w:color="auto" w:fill="auto"/>
        </w:rPr>
        <w:t>、</w:t>
      </w:r>
      <w:r>
        <w:rPr>
          <w:shd w:val="clear" w:color="auto" w:fill="auto"/>
        </w:rPr>
        <w:t>保护地档案</w:t>
      </w:r>
      <w:r>
        <w:rPr>
          <w:rFonts w:hint="eastAsia"/>
          <w:shd w:val="clear" w:color="auto" w:fill="auto"/>
        </w:rPr>
        <w:t>。</w:t>
      </w:r>
      <w:r>
        <w:rPr>
          <w:shd w:val="clear" w:color="auto" w:fill="auto"/>
        </w:rPr>
        <w:t>划定县域生物多样性保护优先区域</w:t>
      </w:r>
      <w:r>
        <w:rPr>
          <w:rFonts w:hint="eastAsia"/>
          <w:shd w:val="clear" w:color="auto" w:fill="auto"/>
        </w:rPr>
        <w:t>，探索实施“一区一策”，加强优先区域保护与监管，提升生物多样性管理水平。</w:t>
      </w:r>
    </w:p>
    <w:p w14:paraId="74AF92B5">
      <w:pPr>
        <w:pStyle w:val="29"/>
        <w:spacing w:before="156" w:after="156"/>
        <w:ind w:firstLine="643"/>
        <w:rPr>
          <w:shd w:val="clear" w:color="auto" w:fill="auto"/>
        </w:rPr>
      </w:pPr>
      <w:r>
        <w:rPr>
          <w:rFonts w:hint="eastAsia"/>
          <w:shd w:val="clear" w:color="auto" w:fill="auto"/>
        </w:rPr>
        <w:t>（二）加强生物遗传多样性保护</w:t>
      </w:r>
    </w:p>
    <w:p w14:paraId="0E9C1847">
      <w:pPr>
        <w:pStyle w:val="22"/>
        <w:ind w:firstLine="640"/>
        <w:rPr>
          <w:shd w:val="clear" w:color="auto" w:fill="auto"/>
        </w:rPr>
      </w:pPr>
      <w:r>
        <w:rPr>
          <w:rFonts w:hint="eastAsia"/>
          <w:shd w:val="clear" w:color="auto" w:fill="auto"/>
        </w:rPr>
        <w:t>在镇安县生物多样性本底调查的基础上，加强与遗传资源相关传统知识保护，建立生物遗传资源及相关传统知识获取与惠益分享制度，规范生物遗传资源采集、保存、交换、合作研究和开发利用活动。开展生物遗传资源价值评估，加强对生物资源的发掘、整理、检测、培育和性状评价，筛选优良生物遗传基因。强化野生动植物基因保护，建设野生动植物人工种群保育基地和基因库，围绕动植物物种的收集、引种驯化、栽培利用，开展组织培养、基因保存等保护研究。</w:t>
      </w:r>
    </w:p>
    <w:p w14:paraId="155C0C46">
      <w:pPr>
        <w:pStyle w:val="29"/>
        <w:spacing w:before="156" w:after="156"/>
        <w:ind w:firstLine="643"/>
        <w:rPr>
          <w:shd w:val="clear" w:color="auto" w:fill="auto"/>
        </w:rPr>
      </w:pPr>
      <w:r>
        <w:rPr>
          <w:rFonts w:hint="eastAsia"/>
          <w:shd w:val="clear" w:color="auto" w:fill="auto"/>
        </w:rPr>
        <w:t>（三）严厉打击破坏野生动植物资源违法犯罪行为</w:t>
      </w:r>
    </w:p>
    <w:p w14:paraId="074FA0EA">
      <w:pPr>
        <w:pStyle w:val="22"/>
        <w:ind w:firstLine="640"/>
        <w:rPr>
          <w:shd w:val="clear" w:color="auto" w:fill="auto"/>
        </w:rPr>
      </w:pPr>
      <w:r>
        <w:rPr>
          <w:rFonts w:hint="eastAsia"/>
          <w:shd w:val="clear" w:color="auto" w:fill="auto"/>
        </w:rPr>
        <w:t>禁止非法猎捕、杀害、采集国家和省重点保护的野生动植物，破坏国家和省重点保护野生动植物栖息地、保护地及其环境；禁止在国家和省重点保护的野生动物栖息地使用污染其生息环境的农药；禁止使用非法工具或者非法方法猎捕其他野生动物；禁止损坏保护设施和保护标志；禁止非法引进、放归外来物种，随意放生野生动物及法律法规禁止的其他危害野生动植物的行为。积极整合刑侦、治安、网安、环食药以及森林公安力量，紧盯野生动物及其制品零售商、集贸市场、驯养繁殖场、饭店酒店、农家乐等重要部位和场所，强化线索摸排，全面提升精准打击力度。在规定的禁渔期和禁渔区内，禁止一切捕捞行为，禁止扎巢取卵、挖沙采石和从事其他影响鱼类生态环境的活动。加强与宣传部门及各类媒体的沟通合作，充分发挥传统媒体和新媒体的优势，大力宣传保护野生动物资源意义及非法捕杀贩卖野生动物资源所要承担的法律后果。</w:t>
      </w:r>
    </w:p>
    <w:p w14:paraId="5650559B">
      <w:pPr>
        <w:pStyle w:val="22"/>
        <w:ind w:firstLine="643"/>
        <w:rPr>
          <w:b/>
          <w:shd w:val="clear" w:color="auto" w:fill="auto"/>
        </w:rPr>
      </w:pPr>
      <w:r>
        <w:rPr>
          <w:rFonts w:hint="eastAsia"/>
          <w:b/>
          <w:shd w:val="clear" w:color="auto" w:fill="auto"/>
        </w:rPr>
        <w:t>牵头单位：县林业局；配合单位：县公安局、县资源局、县农业农村局、县市监局、县交通局、县邮政局</w:t>
      </w:r>
    </w:p>
    <w:p w14:paraId="3E66E2CA">
      <w:pPr>
        <w:pStyle w:val="32"/>
        <w:spacing w:before="156" w:after="156"/>
        <w:ind w:firstLine="640"/>
        <w:rPr>
          <w:shd w:val="clear" w:color="auto" w:fill="auto"/>
        </w:rPr>
      </w:pPr>
      <w:bookmarkStart w:id="33" w:name="_Toc59298951"/>
      <w:r>
        <w:rPr>
          <w:rFonts w:hint="eastAsia"/>
          <w:shd w:val="clear" w:color="auto" w:fill="auto"/>
        </w:rPr>
        <w:t>二、强化湿地生态保护与修复</w:t>
      </w:r>
      <w:bookmarkEnd w:id="33"/>
    </w:p>
    <w:p w14:paraId="13CF3CEF">
      <w:pPr>
        <w:pStyle w:val="29"/>
        <w:spacing w:before="156" w:after="156"/>
        <w:ind w:firstLine="643"/>
        <w:rPr>
          <w:shd w:val="clear" w:color="auto" w:fill="auto"/>
        </w:rPr>
      </w:pPr>
      <w:r>
        <w:rPr>
          <w:rFonts w:hint="eastAsia"/>
          <w:shd w:val="clear" w:color="auto" w:fill="auto"/>
        </w:rPr>
        <w:t>（一）加强湿地保护管理</w:t>
      </w:r>
    </w:p>
    <w:p w14:paraId="7DAF4C62">
      <w:pPr>
        <w:pStyle w:val="22"/>
        <w:ind w:firstLine="640"/>
        <w:rPr>
          <w:shd w:val="clear" w:color="auto" w:fill="auto"/>
        </w:rPr>
      </w:pPr>
      <w:r>
        <w:rPr>
          <w:rFonts w:hint="eastAsia"/>
          <w:shd w:val="clear" w:color="auto" w:fill="auto"/>
        </w:rPr>
        <w:t>完善湿地保护管理体制，禁止在湿地开垦、填埋或者排干湿地；禁止永久性截断湿地水源；禁止挖沙、采矿；禁止倾倒有毒有害物质、废弃物、垃圾；禁止破坏野生动物栖息地和迁徙通道、鱼类洄游通道；禁止滥采滥捕野生动植物；禁止引进外来物种；禁止擅自放牧、捕捞、取土、取水、排污、放生等。完善湿地资源用途管理制度，合理设立湿地相关资源利用的强度和时限，避免对湿地生态要素、生态过程、生态服务功能等方面造成破坏。</w:t>
      </w:r>
    </w:p>
    <w:p w14:paraId="56272A56">
      <w:pPr>
        <w:pStyle w:val="29"/>
        <w:spacing w:before="156" w:after="156"/>
        <w:ind w:firstLine="643"/>
        <w:rPr>
          <w:shd w:val="clear" w:color="auto" w:fill="auto"/>
        </w:rPr>
      </w:pPr>
      <w:r>
        <w:rPr>
          <w:rFonts w:hint="eastAsia"/>
          <w:shd w:val="clear" w:color="auto" w:fill="auto"/>
        </w:rPr>
        <w:t>（二）实施湿地生态修复</w:t>
      </w:r>
    </w:p>
    <w:p w14:paraId="7C5A2181">
      <w:pPr>
        <w:pStyle w:val="22"/>
        <w:ind w:firstLine="640"/>
        <w:rPr>
          <w:shd w:val="clear" w:color="auto" w:fill="auto"/>
        </w:rPr>
      </w:pPr>
      <w:r>
        <w:rPr>
          <w:rFonts w:hint="eastAsia"/>
          <w:shd w:val="clear" w:color="auto" w:fill="auto"/>
        </w:rPr>
        <w:t>以旬河重要湿地为核心，探索开展湿地生态效益价值评估，积极申报湿地生态恢复和保护建设项目，对自然湿地和具有重要生态价值的人工湿地，实行优先保护和修复，对生态地位重要或遭受严重破坏的自然湿地实施抢救性保护。在重要生态区域探索建设具有综合功能和示范意义的小微湿地，对受损退化湿地、濒危物种栖息地的关键区域，采取栖息地恢复、地形整理等措施，恢复河流湿地地貌和植被，修复受损湿地生态系统，维护生物多样性。到2025年，逐步提高湿地保护管理能力和水平，湿地生态系统和重要湿地物种栖息地环境得到改善，秦岭湿地保护成效初显。</w:t>
      </w:r>
    </w:p>
    <w:p w14:paraId="0AAC5B3F">
      <w:pPr>
        <w:pStyle w:val="22"/>
        <w:ind w:firstLine="643"/>
        <w:rPr>
          <w:b/>
          <w:shd w:val="clear" w:color="auto" w:fill="auto"/>
        </w:rPr>
      </w:pPr>
      <w:r>
        <w:rPr>
          <w:rFonts w:hint="eastAsia"/>
          <w:b/>
          <w:shd w:val="clear" w:color="auto" w:fill="auto"/>
        </w:rPr>
        <w:t>牵头单位：县林业局；配合单位：县资源局、县审批局、县环境局、县水利局</w:t>
      </w:r>
    </w:p>
    <w:p w14:paraId="7D7FC661">
      <w:pPr>
        <w:pStyle w:val="32"/>
        <w:spacing w:before="156" w:after="156"/>
        <w:ind w:firstLine="640"/>
        <w:rPr>
          <w:shd w:val="clear" w:color="auto" w:fill="auto"/>
        </w:rPr>
      </w:pPr>
      <w:bookmarkStart w:id="34" w:name="_Toc59298952"/>
      <w:r>
        <w:rPr>
          <w:shd w:val="clear" w:color="auto" w:fill="auto"/>
        </w:rPr>
        <w:t>三</w:t>
      </w:r>
      <w:r>
        <w:rPr>
          <w:rFonts w:hint="eastAsia"/>
          <w:shd w:val="clear" w:color="auto" w:fill="auto"/>
        </w:rPr>
        <w:t>、</w:t>
      </w:r>
      <w:r>
        <w:rPr>
          <w:shd w:val="clear" w:color="auto" w:fill="auto"/>
        </w:rPr>
        <w:t>加强自然保护地体系建设</w:t>
      </w:r>
      <w:bookmarkEnd w:id="34"/>
    </w:p>
    <w:p w14:paraId="29EA7C8A">
      <w:pPr>
        <w:pStyle w:val="29"/>
        <w:spacing w:before="156" w:after="156"/>
        <w:ind w:firstLine="643"/>
        <w:rPr>
          <w:shd w:val="clear" w:color="auto" w:fill="auto"/>
        </w:rPr>
      </w:pPr>
      <w:r>
        <w:rPr>
          <w:rFonts w:hint="eastAsia"/>
          <w:shd w:val="clear" w:color="auto" w:fill="auto"/>
        </w:rPr>
        <w:t>（一）完善自然保护地整合优化工作</w:t>
      </w:r>
    </w:p>
    <w:p w14:paraId="23B87301">
      <w:pPr>
        <w:pStyle w:val="22"/>
        <w:ind w:firstLine="640"/>
        <w:rPr>
          <w:shd w:val="clear" w:color="auto" w:fill="auto"/>
        </w:rPr>
      </w:pPr>
      <w:r>
        <w:rPr>
          <w:rFonts w:hint="eastAsia"/>
          <w:shd w:val="clear" w:color="auto" w:fill="auto"/>
        </w:rPr>
        <w:t>按照《镇安县自然保护地整合优化预案》，充分与生态保护红线、永久基本农田、城镇开发边界对接，科学划定保护地边界和功能分区，着力解决陕西木王国家森林公园、陕西鹰</w:t>
      </w:r>
      <w:r>
        <w:rPr>
          <w:shd w:val="clear" w:color="auto" w:fill="auto"/>
        </w:rPr>
        <w:t>嘴</w:t>
      </w:r>
      <w:r>
        <w:rPr>
          <w:rFonts w:hint="eastAsia"/>
          <w:shd w:val="clear" w:color="auto" w:fill="auto"/>
        </w:rPr>
        <w:t>石省级自然保护区交叉重叠、边界不清等问题。对优化后的自然保护地开展确权登记工作，明确自然保护地范围内各类自然资源的数量、质量、种类、分布等自然状况，所有权主体、所有权代表行使主体、所有权代理行使主体以及权利内容等权属状况。</w:t>
      </w:r>
    </w:p>
    <w:p w14:paraId="3373CE52">
      <w:pPr>
        <w:pStyle w:val="29"/>
        <w:spacing w:before="156" w:after="156"/>
        <w:ind w:firstLine="643"/>
        <w:rPr>
          <w:shd w:val="clear" w:color="auto" w:fill="auto"/>
        </w:rPr>
      </w:pPr>
      <w:r>
        <w:rPr>
          <w:rFonts w:hint="eastAsia"/>
          <w:shd w:val="clear" w:color="auto" w:fill="auto"/>
        </w:rPr>
        <w:t>（三）加强自然保护地监督管理</w:t>
      </w:r>
    </w:p>
    <w:p w14:paraId="7CBF017E">
      <w:pPr>
        <w:pStyle w:val="22"/>
        <w:ind w:firstLine="640"/>
        <w:rPr>
          <w:shd w:val="clear" w:color="auto" w:fill="auto"/>
        </w:rPr>
      </w:pPr>
      <w:r>
        <w:rPr>
          <w:rFonts w:hint="eastAsia"/>
          <w:shd w:val="clear" w:color="auto" w:fill="auto"/>
        </w:rPr>
        <w:t>编制自然保护地体系规划，开展自然保护地勘界定标。持续做好“绿盾”自然保护地强化监督工作，建立常态化自然保护地监督检查机制，定期开展遥感监测和实地核查。持续开展自然保护地调查摸底和分析评估工作，严格落实涉及自然保护地建设项目审批制度。</w:t>
      </w:r>
    </w:p>
    <w:p w14:paraId="11EE287A">
      <w:pPr>
        <w:pStyle w:val="22"/>
        <w:ind w:firstLine="643"/>
        <w:rPr>
          <w:b/>
          <w:shd w:val="clear" w:color="auto" w:fill="auto"/>
        </w:rPr>
      </w:pPr>
      <w:r>
        <w:rPr>
          <w:rFonts w:hint="eastAsia"/>
          <w:b/>
          <w:shd w:val="clear" w:color="auto" w:fill="auto"/>
        </w:rPr>
        <w:t>牵头单位：县林业局；配合单位：县资源局、县审批局、县农业农村局、县环境局</w:t>
      </w:r>
    </w:p>
    <w:p w14:paraId="46A93995">
      <w:pPr>
        <w:pStyle w:val="32"/>
        <w:spacing w:before="156" w:after="156"/>
        <w:ind w:firstLine="640"/>
        <w:rPr>
          <w:shd w:val="clear" w:color="auto" w:fill="auto"/>
        </w:rPr>
      </w:pPr>
      <w:bookmarkStart w:id="35" w:name="_Toc59298953"/>
      <w:r>
        <w:rPr>
          <w:rFonts w:hint="eastAsia"/>
          <w:shd w:val="clear" w:color="auto" w:fill="auto"/>
        </w:rPr>
        <w:t>四、构建</w:t>
      </w:r>
      <w:r>
        <w:rPr>
          <w:shd w:val="clear" w:color="auto" w:fill="auto"/>
        </w:rPr>
        <w:t>绿色</w:t>
      </w:r>
      <w:r>
        <w:rPr>
          <w:rFonts w:hint="eastAsia"/>
          <w:shd w:val="clear" w:color="auto" w:fill="auto"/>
        </w:rPr>
        <w:t>生态廊道</w:t>
      </w:r>
      <w:bookmarkEnd w:id="35"/>
    </w:p>
    <w:p w14:paraId="6512D7E0">
      <w:pPr>
        <w:pStyle w:val="29"/>
        <w:spacing w:before="156" w:after="156"/>
        <w:ind w:firstLine="643"/>
        <w:rPr>
          <w:shd w:val="clear" w:color="auto" w:fill="auto"/>
        </w:rPr>
      </w:pPr>
      <w:r>
        <w:rPr>
          <w:rFonts w:hint="eastAsia"/>
          <w:shd w:val="clear" w:color="auto" w:fill="auto"/>
        </w:rPr>
        <w:t>（一）完善生态廊道布局</w:t>
      </w:r>
    </w:p>
    <w:p w14:paraId="1EF0A8E8">
      <w:pPr>
        <w:pStyle w:val="22"/>
        <w:ind w:firstLine="640"/>
        <w:rPr>
          <w:shd w:val="clear" w:color="auto" w:fill="auto"/>
        </w:rPr>
      </w:pPr>
      <w:r>
        <w:rPr>
          <w:shd w:val="clear" w:color="auto" w:fill="auto"/>
        </w:rPr>
        <w:t>以旬河</w:t>
      </w:r>
      <w:r>
        <w:rPr>
          <w:rFonts w:hint="eastAsia"/>
          <w:shd w:val="clear" w:color="auto" w:fill="auto"/>
        </w:rPr>
        <w:t>、</w:t>
      </w:r>
      <w:r>
        <w:rPr>
          <w:shd w:val="clear" w:color="auto" w:fill="auto"/>
        </w:rPr>
        <w:t>乾佑河两条主要河流及其</w:t>
      </w:r>
      <w:r>
        <w:rPr>
          <w:rFonts w:hint="eastAsia"/>
          <w:shd w:val="clear" w:color="auto" w:fill="auto"/>
        </w:rPr>
        <w:t>两岸陆域一定范围为主廊，以县域高速、公路沿线林带、农田林网和农村道路两侧防护林等为骨架，以陕西鹰嘴石省级自然保护区、陕西木王国家森林公园、旬河重要湿地、黑窑沟国有林场、木王国有林场等重点保护单元</w:t>
      </w:r>
      <w:r>
        <w:rPr>
          <w:shd w:val="clear" w:color="auto" w:fill="auto"/>
        </w:rPr>
        <w:t>为节点</w:t>
      </w:r>
      <w:r>
        <w:rPr>
          <w:rFonts w:hint="eastAsia"/>
          <w:shd w:val="clear" w:color="auto" w:fill="auto"/>
        </w:rPr>
        <w:t>，以城乡环境综合整治、美丽乡村建设、流域综合治理、绿色林带建设、山水林田湖草综合整治等重点工程为支撑，尽可能利用原有堤岸、原有植被、原有走向推进生态廊道建设，打造水清、岸绿、景美的“绿色廊道”。</w:t>
      </w:r>
    </w:p>
    <w:p w14:paraId="118CA1C7">
      <w:pPr>
        <w:pStyle w:val="29"/>
        <w:spacing w:before="156" w:after="156"/>
        <w:ind w:firstLine="643"/>
        <w:rPr>
          <w:shd w:val="clear" w:color="auto" w:fill="auto"/>
        </w:rPr>
      </w:pPr>
      <w:r>
        <w:rPr>
          <w:rFonts w:hint="eastAsia"/>
          <w:shd w:val="clear" w:color="auto" w:fill="auto"/>
        </w:rPr>
        <w:t>（二）加强生态廊道管理</w:t>
      </w:r>
    </w:p>
    <w:p w14:paraId="5B270C6F">
      <w:pPr>
        <w:pStyle w:val="22"/>
        <w:ind w:firstLine="640"/>
        <w:rPr>
          <w:shd w:val="clear" w:color="auto" w:fill="auto"/>
        </w:rPr>
      </w:pPr>
      <w:r>
        <w:rPr>
          <w:rFonts w:hint="eastAsia"/>
          <w:shd w:val="clear" w:color="auto" w:fill="auto"/>
        </w:rPr>
        <w:t>建立生态廊道管护长效机制，按照“属地管理、分级负责、责任到人”的原则，推行专业队伍管护、承包管护和家庭管护等灵活多样的管护模式，大幅提升管护水平。建立“智慧廊道”管理平台，实现生态廊道建设项目管理网络化、平台化、系统化、数据化，全面提升项目数据报送的时效性、准确性，有力推进项目监督管理的有效性、针对性。</w:t>
      </w:r>
    </w:p>
    <w:p w14:paraId="460612C9">
      <w:pPr>
        <w:pStyle w:val="22"/>
        <w:ind w:firstLine="643"/>
        <w:rPr>
          <w:b/>
          <w:shd w:val="clear" w:color="auto" w:fill="auto"/>
        </w:rPr>
      </w:pPr>
      <w:r>
        <w:rPr>
          <w:rFonts w:hint="eastAsia"/>
          <w:b/>
          <w:shd w:val="clear" w:color="auto" w:fill="auto"/>
        </w:rPr>
        <w:t>牵头单位：县林业局；配合单位：县发改局、县水利局、县资源局、县环境局、县农业农村局、县文旅局</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5D0E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5191AFB4">
            <w:pPr>
              <w:pStyle w:val="36"/>
              <w:rPr>
                <w:shd w:val="clear" w:color="auto" w:fill="auto"/>
              </w:rPr>
            </w:pPr>
            <w:r>
              <w:rPr>
                <w:rFonts w:hint="eastAsia"/>
                <w:shd w:val="clear" w:color="auto" w:fill="auto"/>
              </w:rPr>
              <w:t xml:space="preserve">专栏 </w:t>
            </w:r>
            <w:r>
              <w:rPr>
                <w:shd w:val="clear" w:color="auto" w:fill="auto"/>
              </w:rPr>
              <w:t xml:space="preserve">11 </w:t>
            </w:r>
            <w:r>
              <w:rPr>
                <w:rFonts w:hint="eastAsia"/>
                <w:shd w:val="clear" w:color="auto" w:fill="auto"/>
              </w:rPr>
              <w:t>镇安县生物多样性保护重点工程</w:t>
            </w:r>
          </w:p>
        </w:tc>
      </w:tr>
      <w:tr w14:paraId="4A9A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327D4C99">
            <w:pPr>
              <w:pStyle w:val="34"/>
              <w:ind w:firstLine="482" w:firstLineChars="200"/>
              <w:jc w:val="both"/>
              <w:rPr>
                <w:b/>
                <w:shd w:val="clear" w:color="auto" w:fill="auto"/>
              </w:rPr>
            </w:pPr>
            <w:r>
              <w:rPr>
                <w:rFonts w:hint="eastAsia"/>
                <w:b/>
                <w:shd w:val="clear" w:color="auto" w:fill="auto"/>
              </w:rPr>
              <w:t>1. 野生珍稀植物保护工程：</w:t>
            </w:r>
            <w:r>
              <w:rPr>
                <w:rFonts w:hint="eastAsia"/>
                <w:shd w:val="clear" w:color="auto" w:fill="auto"/>
              </w:rPr>
              <w:t>加强就地保护措施，建立珍稀植物保护小区，设立围栏、哨卡等禁入标识，在可行的情况下，采集种子、枝条、生命幼体进行库存保护。认真做好古树名木调查、建档、挂牌、保护等工作。</w:t>
            </w:r>
          </w:p>
          <w:p w14:paraId="0BF05590">
            <w:pPr>
              <w:pStyle w:val="34"/>
              <w:ind w:firstLine="482" w:firstLineChars="200"/>
              <w:jc w:val="both"/>
              <w:rPr>
                <w:b/>
                <w:shd w:val="clear" w:color="auto" w:fill="auto"/>
              </w:rPr>
            </w:pPr>
            <w:r>
              <w:rPr>
                <w:rFonts w:hint="eastAsia"/>
                <w:b/>
                <w:shd w:val="clear" w:color="auto" w:fill="auto"/>
              </w:rPr>
              <w:t>2. 野生动物救护工程：</w:t>
            </w:r>
            <w:r>
              <w:rPr>
                <w:rFonts w:hint="eastAsia"/>
                <w:shd w:val="clear" w:color="auto" w:fill="auto"/>
              </w:rPr>
              <w:t>在景区野生动物活动频繁的地段，科学建立投食台对野生动物实施食物救助，设立围栏、限制游人贸然闯入；在道路、水渠设施建设过程中必须考虑野生动物洄游通道；在适宜于野生动物活动栖息的区域，适当建设人工洞穴、巢、笼、舍等。</w:t>
            </w:r>
          </w:p>
          <w:p w14:paraId="47AAD2E6">
            <w:pPr>
              <w:pStyle w:val="34"/>
              <w:ind w:firstLine="482" w:firstLineChars="200"/>
              <w:jc w:val="both"/>
              <w:rPr>
                <w:b/>
                <w:shd w:val="clear" w:color="auto" w:fill="auto"/>
              </w:rPr>
            </w:pPr>
            <w:r>
              <w:rPr>
                <w:rFonts w:hint="eastAsia"/>
                <w:b/>
                <w:shd w:val="clear" w:color="auto" w:fill="auto"/>
              </w:rPr>
              <w:t>3. 野生动物疫源疫病监测工程：</w:t>
            </w:r>
            <w:r>
              <w:rPr>
                <w:rFonts w:hint="eastAsia"/>
                <w:shd w:val="clear" w:color="auto" w:fill="auto"/>
              </w:rPr>
              <w:t>加强对野生动物疫病的防护，建立健全生态安全动态监测预警体系，定期对生态风险开展全面调查评估。建立监测网络体系，县林业局负责和指导野生动物监测工作，以点、线和重点区域监测为主；各镇负责各辖区内的面上监测工作。监测方式上采取定点监测与路线巡查相结合、区域重点监测和辖区内全面监测相结合、县林业局监测与各镇监测相结合、监测员监测与群众举报相结合。</w:t>
            </w:r>
          </w:p>
          <w:p w14:paraId="0FEA0F47">
            <w:pPr>
              <w:pStyle w:val="34"/>
              <w:ind w:firstLine="482" w:firstLineChars="200"/>
              <w:jc w:val="both"/>
              <w:rPr>
                <w:shd w:val="clear" w:color="auto" w:fill="auto"/>
              </w:rPr>
            </w:pPr>
            <w:r>
              <w:rPr>
                <w:b/>
                <w:shd w:val="clear" w:color="auto" w:fill="auto"/>
              </w:rPr>
              <w:t>4. 湿地植被恢复工程</w:t>
            </w:r>
            <w:r>
              <w:rPr>
                <w:rFonts w:hint="eastAsia"/>
                <w:b/>
                <w:shd w:val="clear" w:color="auto" w:fill="auto"/>
              </w:rPr>
              <w:t>：</w:t>
            </w:r>
            <w:r>
              <w:rPr>
                <w:rFonts w:hint="eastAsia"/>
                <w:shd w:val="clear" w:color="auto" w:fill="auto"/>
              </w:rPr>
              <w:t>开展人工辅助自然恢复重建植被建设，种植芦苇、小冠花、二月兰、波斯菊等草本植被，栽植护岸护坡林如侧柏、柳树、红柳等乔灌木为湿地水禽生活和繁殖创造了良好的生存环境。</w:t>
            </w:r>
          </w:p>
          <w:p w14:paraId="2158C686">
            <w:pPr>
              <w:pStyle w:val="34"/>
              <w:ind w:firstLine="482" w:firstLineChars="200"/>
              <w:jc w:val="both"/>
              <w:rPr>
                <w:shd w:val="clear" w:color="auto" w:fill="auto"/>
              </w:rPr>
            </w:pPr>
            <w:r>
              <w:rPr>
                <w:b/>
                <w:shd w:val="clear" w:color="auto" w:fill="auto"/>
              </w:rPr>
              <w:t xml:space="preserve">5. </w:t>
            </w:r>
            <w:r>
              <w:rPr>
                <w:rFonts w:hint="eastAsia"/>
                <w:b/>
                <w:shd w:val="clear" w:color="auto" w:fill="auto"/>
              </w:rPr>
              <w:t>湿地监测和巡护工程：</w:t>
            </w:r>
            <w:r>
              <w:rPr>
                <w:rFonts w:hint="eastAsia"/>
                <w:shd w:val="clear" w:color="auto" w:fill="auto"/>
              </w:rPr>
              <w:t>协同生态环境分局、气象局、自然资源局等部门定期对湿地动植物、水文、气象、土壤等进行监测；联合水利局、自然资源局、生态环境分局等相关单位开展湿地执法检查等工作。开展湿地资源调查，建立全县湿地监测信息系统平台数据库、制定评估指标，建立湿地评估体系。</w:t>
            </w:r>
          </w:p>
          <w:p w14:paraId="65C4D134">
            <w:pPr>
              <w:pStyle w:val="34"/>
              <w:ind w:firstLine="482" w:firstLineChars="200"/>
              <w:jc w:val="both"/>
              <w:rPr>
                <w:shd w:val="clear" w:color="auto" w:fill="auto"/>
              </w:rPr>
            </w:pPr>
            <w:r>
              <w:rPr>
                <w:b/>
                <w:shd w:val="clear" w:color="auto" w:fill="auto"/>
              </w:rPr>
              <w:t>6. 湿地宣传教育项目</w:t>
            </w:r>
            <w:r>
              <w:rPr>
                <w:rFonts w:hint="eastAsia"/>
                <w:b/>
                <w:shd w:val="clear" w:color="auto" w:fill="auto"/>
              </w:rPr>
              <w:t>：</w:t>
            </w:r>
            <w:r>
              <w:rPr>
                <w:shd w:val="clear" w:color="auto" w:fill="auto"/>
              </w:rPr>
              <w:t>在重点湿地周边设置大型宣传牌10面</w:t>
            </w:r>
            <w:r>
              <w:rPr>
                <w:rFonts w:hint="eastAsia"/>
                <w:shd w:val="clear" w:color="auto" w:fill="auto"/>
              </w:rPr>
              <w:t>。</w:t>
            </w:r>
          </w:p>
        </w:tc>
      </w:tr>
    </w:tbl>
    <w:p w14:paraId="45ED9B9B">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47775B21">
      <w:pPr>
        <w:pStyle w:val="26"/>
        <w:spacing w:before="312" w:after="312"/>
        <w:rPr>
          <w:shd w:val="clear" w:color="auto" w:fill="auto"/>
        </w:rPr>
      </w:pPr>
      <w:bookmarkStart w:id="36" w:name="_Toc59298954"/>
      <w:r>
        <w:rPr>
          <w:shd w:val="clear" w:color="auto" w:fill="auto"/>
        </w:rPr>
        <w:t>第八章</w:t>
      </w:r>
      <w:r>
        <w:rPr>
          <w:rFonts w:hint="eastAsia"/>
          <w:shd w:val="clear" w:color="auto" w:fill="auto"/>
        </w:rPr>
        <w:t xml:space="preserve"> </w:t>
      </w:r>
      <w:r>
        <w:rPr>
          <w:shd w:val="clear" w:color="auto" w:fill="auto"/>
        </w:rPr>
        <w:t xml:space="preserve"> </w:t>
      </w:r>
      <w:r>
        <w:rPr>
          <w:rFonts w:hint="eastAsia"/>
          <w:shd w:val="clear" w:color="auto" w:fill="auto"/>
        </w:rPr>
        <w:t>坚持刚性约束原则，严控开发建设活动</w:t>
      </w:r>
      <w:bookmarkEnd w:id="36"/>
    </w:p>
    <w:p w14:paraId="48EFE850">
      <w:pPr>
        <w:pStyle w:val="22"/>
        <w:ind w:firstLine="640"/>
        <w:rPr>
          <w:shd w:val="clear" w:color="auto" w:fill="auto"/>
        </w:rPr>
      </w:pPr>
      <w:r>
        <w:rPr>
          <w:shd w:val="clear" w:color="auto" w:fill="auto"/>
        </w:rPr>
        <w:t>以秦岭生态环境保护为前提</w:t>
      </w:r>
      <w:r>
        <w:rPr>
          <w:rFonts w:hint="eastAsia"/>
          <w:shd w:val="clear" w:color="auto" w:fill="auto"/>
        </w:rPr>
        <w:t>，以矿产资源开发、交通设施建设、城镇乡村建设、旅游开发建设为核心，严格控制各类开发建设活动，切实减少和控制各类开发建设活动对秦岭生态环境的损害，促进人与自然和谐发展。</w:t>
      </w:r>
    </w:p>
    <w:p w14:paraId="36B03169">
      <w:pPr>
        <w:pStyle w:val="32"/>
        <w:spacing w:before="156" w:after="156"/>
        <w:ind w:firstLine="640"/>
        <w:rPr>
          <w:shd w:val="clear" w:color="auto" w:fill="auto"/>
        </w:rPr>
      </w:pPr>
      <w:bookmarkStart w:id="37" w:name="_Toc59298955"/>
      <w:r>
        <w:rPr>
          <w:rFonts w:hint="eastAsia"/>
          <w:shd w:val="clear" w:color="auto" w:fill="auto"/>
        </w:rPr>
        <w:t>一、矿产资源开发保护</w:t>
      </w:r>
      <w:bookmarkEnd w:id="37"/>
    </w:p>
    <w:p w14:paraId="49920512">
      <w:pPr>
        <w:pStyle w:val="22"/>
        <w:ind w:firstLine="640"/>
        <w:rPr>
          <w:shd w:val="clear" w:color="auto" w:fill="auto"/>
        </w:rPr>
      </w:pPr>
      <w:r>
        <w:rPr>
          <w:rFonts w:hint="eastAsia"/>
          <w:shd w:val="clear" w:color="auto" w:fill="auto"/>
        </w:rPr>
        <w:t>禁止在核心保护区、重点保护区勘探、开发矿产资源和开山采石，已取得矿业权的企业和现有采石企业，由县人民政府依法组织限期退出。对退出保护区的矿山企业，必须限期完成矿山生态环境恢复治理工作。在核心保护区、重点保护区实施战略性矿产资源勘查项目，应当依法进行环境影响评价，报省人民政府审定。</w:t>
      </w:r>
    </w:p>
    <w:p w14:paraId="0EE7E9C0">
      <w:pPr>
        <w:pStyle w:val="29"/>
        <w:spacing w:before="156" w:after="156"/>
        <w:ind w:firstLine="643"/>
        <w:rPr>
          <w:shd w:val="clear" w:color="auto" w:fill="auto"/>
        </w:rPr>
      </w:pPr>
      <w:r>
        <w:rPr>
          <w:rFonts w:hint="eastAsia"/>
          <w:shd w:val="clear" w:color="auto" w:fill="auto"/>
        </w:rPr>
        <w:t>（一）核心保护区</w:t>
      </w:r>
    </w:p>
    <w:p w14:paraId="7DEBCCFF">
      <w:pPr>
        <w:pStyle w:val="22"/>
        <w:ind w:firstLine="640"/>
        <w:rPr>
          <w:shd w:val="clear" w:color="auto" w:fill="auto"/>
        </w:rPr>
      </w:pPr>
      <w:r>
        <w:rPr>
          <w:rFonts w:hint="eastAsia"/>
          <w:shd w:val="clear" w:color="auto" w:fill="auto"/>
        </w:rPr>
        <w:t>核心保护区内已有矿业权，一律停止勘探、开采活动。探矿权、采矿权范围全部在核心保护区内需关闭退出的矿业权，由县人民政府发布关闭公告，县自然资源行政主管部门按审批权限于2020年底前办理勘查许可证或采矿许可证注销登记手续；探矿权、采矿权范围部分在核心保护区内可扣减避让的矿业权，县自然资源行政主管部门按审批权限于2020年底前办理勘查许可证或采矿许可证变更（扣减面积）登记手续。</w:t>
      </w:r>
    </w:p>
    <w:p w14:paraId="50E66426">
      <w:pPr>
        <w:pStyle w:val="29"/>
        <w:spacing w:before="156" w:after="156"/>
        <w:ind w:firstLine="643"/>
        <w:rPr>
          <w:shd w:val="clear" w:color="auto" w:fill="auto"/>
        </w:rPr>
      </w:pPr>
      <w:r>
        <w:rPr>
          <w:rFonts w:hint="eastAsia"/>
          <w:shd w:val="clear" w:color="auto" w:fill="auto"/>
        </w:rPr>
        <w:t>（二）重点保护区</w:t>
      </w:r>
    </w:p>
    <w:p w14:paraId="31A978F8">
      <w:pPr>
        <w:pStyle w:val="22"/>
        <w:ind w:firstLine="640"/>
        <w:rPr>
          <w:shd w:val="clear" w:color="auto" w:fill="auto"/>
        </w:rPr>
      </w:pPr>
      <w:r>
        <w:rPr>
          <w:rFonts w:hint="eastAsia"/>
          <w:shd w:val="clear" w:color="auto" w:fill="auto"/>
        </w:rPr>
        <w:t>重点保护区内已有探矿权一律停止勘探活动，探矿权人不得在重点保护区进行设计和勘探施工。已施工工程应当及时封堵、填埋，进行覆土复绿等恢复治理。探矿权范围全部在重点保护区内需关闭退出，部分在重点保护区内可扣减避让的于2020年底前办理勘查许可证变更（扣减面积）登记手续。重点保护区内已有采矿权，采矿权人应及时办理扣减避让或注销登记手续。开采标高部分在重点保护区可扣减避让的，由县人民政府督促采矿权人主动申请扣减避让，县自然资源行政主管部门按审批权限于2020年底前办理采矿许可证变更手续；开采标高全部在重点保护区无法扣减需关闭退出的，由县人民政府发布关闭公告，县自然资源行政主管部门按审批权限于2020年底前办理采矿许可证注销登记手续。部分范围在重点保护区内的开采矿山，凡2020年底前仍未调整到位的或因地形地表等原因无法扣减调整的，不再办理采矿权登记手续，并由县人民政府予以关闭退出。</w:t>
      </w:r>
    </w:p>
    <w:p w14:paraId="6F7E5982">
      <w:pPr>
        <w:pStyle w:val="29"/>
        <w:spacing w:before="156" w:after="156"/>
        <w:ind w:firstLine="643"/>
        <w:rPr>
          <w:shd w:val="clear" w:color="auto" w:fill="auto"/>
        </w:rPr>
      </w:pPr>
      <w:r>
        <w:rPr>
          <w:rFonts w:hint="eastAsia"/>
          <w:shd w:val="clear" w:color="auto" w:fill="auto"/>
        </w:rPr>
        <w:t>（三）一般保护区</w:t>
      </w:r>
    </w:p>
    <w:p w14:paraId="631A5073">
      <w:pPr>
        <w:pStyle w:val="22"/>
        <w:ind w:firstLine="640"/>
        <w:rPr>
          <w:shd w:val="clear" w:color="auto" w:fill="auto"/>
        </w:rPr>
      </w:pPr>
      <w:r>
        <w:rPr>
          <w:rFonts w:hint="eastAsia"/>
          <w:shd w:val="clear" w:color="auto" w:fill="auto"/>
        </w:rPr>
        <w:t>县人民政府应当根据秦岭生态环境保护要求和县域内矿产资源赋存情况，节约集约利用矿产资源，严格控制和规范在一般保护区的露天采矿活动，提高矿山环境污染治理能力。在一般保护区新建、扩建、改建矿产资源开采项目应当符合《条例》、省市秦岭生态环境保护规划、秦岭矿产资源开发专项规划等要求，进行环境影响评价，依法办理审批手续。一般保护区内，依法取得勘查、采矿许可证等相关审批手续的矿业权人，应当按照绿色勘查有关要求和绿色矿山建设标准开展作业，必须采用先进工艺技术和措施，提高资源综合利用率，减少对山体、水体和植被的破坏。</w:t>
      </w:r>
    </w:p>
    <w:p w14:paraId="06A599C6">
      <w:pPr>
        <w:pStyle w:val="29"/>
        <w:spacing w:before="156" w:after="156"/>
        <w:ind w:firstLine="643"/>
        <w:rPr>
          <w:shd w:val="clear" w:color="auto" w:fill="auto"/>
        </w:rPr>
      </w:pPr>
      <w:r>
        <w:rPr>
          <w:rFonts w:hint="eastAsia"/>
          <w:shd w:val="clear" w:color="auto" w:fill="auto"/>
        </w:rPr>
        <w:t>（四）绿色矿山建设</w:t>
      </w:r>
    </w:p>
    <w:p w14:paraId="24516D28">
      <w:pPr>
        <w:pStyle w:val="22"/>
        <w:ind w:firstLine="640"/>
        <w:rPr>
          <w:shd w:val="clear" w:color="auto" w:fill="auto"/>
        </w:rPr>
      </w:pPr>
      <w:r>
        <w:rPr>
          <w:rFonts w:hint="eastAsia"/>
          <w:shd w:val="clear" w:color="auto" w:fill="auto"/>
        </w:rPr>
        <w:t>矿产资源开发企业不得采用国家明令淘汰的落后工艺、技术和设备；已建成项目采用淘汰的落后工艺、技术和设备的，必须加快升级改造，由县人民政府依照管理权限责令限期改造、停产或者关闭。新建矿山必须按照绿色矿山标准进行建设。鼓励应用卫星遥感、人工智能等新型调查手段，创新县域矿产勘探方式，提升深部探测能力，有效拓展第二找矿空间。鼓励采用生态采矿技术，降低矿产开采环境污染，利用新型选冶技术，提高共、伴生矿产资源利用率。到2025年，生产和建设的大中型矿山的绿色矿山建设率达到国、省指标要求，小型矿山按照绿色矿山标准进行规范管理。到2035年，绿色勘查新体系基本建立，绿色矿山格局基本形成，矿业高质量发展取得成效。</w:t>
      </w:r>
    </w:p>
    <w:p w14:paraId="7040E387">
      <w:pPr>
        <w:pStyle w:val="22"/>
        <w:ind w:firstLine="643"/>
        <w:rPr>
          <w:shd w:val="clear" w:color="auto" w:fill="auto"/>
        </w:rPr>
      </w:pPr>
      <w:r>
        <w:rPr>
          <w:rFonts w:hint="eastAsia"/>
          <w:b/>
          <w:shd w:val="clear" w:color="auto" w:fill="auto"/>
        </w:rPr>
        <w:t>牵头单位：县资源局；配合单位：县审批局、县环境局、县经贸局</w:t>
      </w:r>
    </w:p>
    <w:p w14:paraId="4436863D">
      <w:pPr>
        <w:pStyle w:val="32"/>
        <w:spacing w:before="156" w:after="156"/>
        <w:ind w:firstLine="640"/>
        <w:rPr>
          <w:shd w:val="clear" w:color="auto" w:fill="auto"/>
        </w:rPr>
      </w:pPr>
      <w:bookmarkStart w:id="38" w:name="_Toc59298956"/>
      <w:r>
        <w:rPr>
          <w:rFonts w:hint="eastAsia"/>
          <w:shd w:val="clear" w:color="auto" w:fill="auto"/>
        </w:rPr>
        <w:t>二、交通设施建设保护</w:t>
      </w:r>
      <w:bookmarkEnd w:id="38"/>
    </w:p>
    <w:p w14:paraId="75B86F51">
      <w:pPr>
        <w:pStyle w:val="29"/>
        <w:spacing w:before="156" w:after="156"/>
        <w:ind w:firstLine="643"/>
      </w:pPr>
      <w:r>
        <w:rPr>
          <w:rFonts w:hint="eastAsia"/>
        </w:rPr>
        <w:t>（一）构建现代化绿色交通体系</w:t>
      </w:r>
    </w:p>
    <w:p w14:paraId="69965863">
      <w:pPr>
        <w:pStyle w:val="22"/>
        <w:ind w:firstLine="640"/>
        <w:rPr>
          <w:shd w:val="clear" w:color="auto" w:fill="auto"/>
        </w:rPr>
      </w:pPr>
      <w:r>
        <w:rPr>
          <w:rFonts w:hint="eastAsia"/>
        </w:rPr>
        <w:t>公路、铁路等交通设施建设，应当符合《条例》、省市秦岭生态环境保护规划的要求，统筹规划，生态选线、科学选址，优先采取桥隧等工程技术措施，绿色施工，避免高强度、大面积开挖，减少对山体、饮用水水源、植被等生态环境的破坏。公路、铁路的规划、建设、养护及管理，按照法律法规的规定执行。养护单位对已建成的在用公路、铁路，需要进行维护、养护作业的，应当依法做好作业过程中的生态环境保护工作。</w:t>
      </w:r>
      <w:r>
        <w:rPr>
          <w:rFonts w:hint="eastAsia"/>
          <w:shd w:val="clear" w:color="auto" w:fill="auto"/>
        </w:rPr>
        <w:t>按照绿色生态理念，加快西康高铁镇安段、丹宁高速镇安至宁陕段等高铁高速项目建设，推进G345北城隧道群及引线工程、</w:t>
      </w:r>
      <w:r>
        <w:rPr>
          <w:shd w:val="clear" w:color="auto" w:fill="auto"/>
        </w:rPr>
        <w:t>G211</w:t>
      </w:r>
      <w:r>
        <w:rPr>
          <w:rFonts w:hint="eastAsia"/>
          <w:shd w:val="clear" w:color="auto" w:fill="auto"/>
        </w:rPr>
        <w:t>古道岭（柞水镇安界）至商洛安康界、S521镇安铁厂至茅坪（陕鄂界）公路等国省道项目建设，做好</w:t>
      </w:r>
      <w:r>
        <w:rPr>
          <w:rFonts w:hint="eastAsia"/>
        </w:rPr>
        <w:t>米粮镇界河村（柞水界）-界河村街道（接G345）</w:t>
      </w:r>
      <w:r>
        <w:rPr>
          <w:rFonts w:hint="eastAsia"/>
          <w:shd w:val="clear" w:color="auto" w:fill="auto"/>
        </w:rPr>
        <w:t>、回龙镇宏丰村梓桥沟脑-永乐街道办金花村十家沟口等县乡道路改建工作，构建多元高效的现代化绿色交通体系。</w:t>
      </w:r>
    </w:p>
    <w:p w14:paraId="21D62844">
      <w:pPr>
        <w:pStyle w:val="29"/>
        <w:spacing w:before="156" w:after="156"/>
        <w:ind w:firstLine="643"/>
        <w:rPr>
          <w:shd w:val="clear" w:color="auto" w:fill="auto"/>
        </w:rPr>
      </w:pPr>
      <w:r>
        <w:rPr>
          <w:rFonts w:hint="eastAsia"/>
          <w:shd w:val="clear" w:color="auto" w:fill="auto"/>
        </w:rPr>
        <w:t>（二）加强交通设施建设生态环境保护</w:t>
      </w:r>
    </w:p>
    <w:p w14:paraId="009FABFD">
      <w:pPr>
        <w:pStyle w:val="22"/>
        <w:ind w:firstLine="640"/>
      </w:pPr>
      <w:r>
        <w:rPr>
          <w:rFonts w:hint="eastAsia"/>
        </w:rPr>
        <w:t>交通设施建设过程中，要落实环境影响评价文件提出的各项生态环境保护措施，不占或者少占林地耕地，对建设周期长、生态环境影响大的建设工程实行工程环境监理。在建交通项目建设应强化环保措施应用，最大限度降低施工对生态环境的影响。施工单位应当按照法律法规要求取料、堆料，并对取料场、废弃物堆放料场进行有效治理和综合利用，做好道路两侧绿化，尽量减少向河道、湖泊、水库等倾倒弃渣，不得向水体倾倒有害废弃物。施工单位应当在交通设施投入使用后三个月内，对施工现场及其附属设施进行清理拆除，并及时恢复植被。加强公共交通站点、非机动车道建设，积极推广新能源公共交通运输工具，鼓励居民绿色出行。</w:t>
      </w:r>
    </w:p>
    <w:p w14:paraId="3F0BDDD3">
      <w:pPr>
        <w:pStyle w:val="29"/>
        <w:spacing w:before="156" w:after="156"/>
        <w:ind w:firstLine="643"/>
        <w:rPr>
          <w:shd w:val="clear" w:color="auto" w:fill="auto"/>
        </w:rPr>
      </w:pPr>
      <w:r>
        <w:rPr>
          <w:rFonts w:hint="eastAsia"/>
          <w:shd w:val="clear" w:color="auto" w:fill="auto"/>
        </w:rPr>
        <w:t>（三）加强交通设施建设生物多样性保护</w:t>
      </w:r>
    </w:p>
    <w:p w14:paraId="6662523D">
      <w:pPr>
        <w:pStyle w:val="22"/>
        <w:ind w:firstLine="640"/>
        <w:rPr>
          <w:shd w:val="clear" w:color="auto" w:fill="auto"/>
        </w:rPr>
      </w:pPr>
      <w:r>
        <w:rPr>
          <w:rFonts w:hint="eastAsia"/>
          <w:shd w:val="clear" w:color="auto" w:fill="auto"/>
        </w:rPr>
        <w:t>交通设施建设时应当采取措施，保护秦岭生物多样性和水源涵养功能。封闭式道路建设应当根据野生动物的生活习性、迁移规律，采取修建野生动物通道等措施，消除或者减少对野生动物的不利影响，避免形成新的生态孤岛。经过重点保护野生动物活动区域的已建成道路改建、扩建时，其设计、施工方案中应当包含设置野生动物通道、交通减速设施及警示标志的内容。自然保护区、风景名胜区、森林公园等区域内的道路设计及施工方案应当符合批准的园区规划，并经省级有关行政主管部门审核。</w:t>
      </w:r>
    </w:p>
    <w:p w14:paraId="1A66A4C6">
      <w:pPr>
        <w:pStyle w:val="22"/>
        <w:ind w:firstLine="643"/>
        <w:rPr>
          <w:shd w:val="clear" w:color="auto" w:fill="auto"/>
        </w:rPr>
      </w:pPr>
      <w:r>
        <w:rPr>
          <w:rFonts w:hint="eastAsia"/>
          <w:b/>
          <w:shd w:val="clear" w:color="auto" w:fill="auto"/>
        </w:rPr>
        <w:t>牵头单位：县交通局；配合单位：县林业局、县环境局</w:t>
      </w:r>
    </w:p>
    <w:p w14:paraId="001C466F">
      <w:pPr>
        <w:pStyle w:val="32"/>
        <w:spacing w:before="156" w:after="156"/>
        <w:ind w:firstLine="640"/>
        <w:rPr>
          <w:shd w:val="clear" w:color="auto" w:fill="auto"/>
        </w:rPr>
      </w:pPr>
      <w:bookmarkStart w:id="39" w:name="_Toc59298957"/>
      <w:r>
        <w:rPr>
          <w:rFonts w:hint="eastAsia"/>
          <w:shd w:val="clear" w:color="auto" w:fill="auto"/>
        </w:rPr>
        <w:t>三、城镇乡村建设保护</w:t>
      </w:r>
      <w:bookmarkEnd w:id="39"/>
    </w:p>
    <w:p w14:paraId="6DAF3A54">
      <w:pPr>
        <w:pStyle w:val="29"/>
        <w:spacing w:before="156" w:after="156"/>
        <w:ind w:firstLine="643"/>
        <w:rPr>
          <w:shd w:val="clear" w:color="auto" w:fill="auto"/>
        </w:rPr>
      </w:pPr>
      <w:r>
        <w:rPr>
          <w:rFonts w:hint="eastAsia"/>
          <w:shd w:val="clear" w:color="auto" w:fill="auto"/>
        </w:rPr>
        <w:t>（一）科学推进城镇建设</w:t>
      </w:r>
    </w:p>
    <w:p w14:paraId="15AFADB5">
      <w:pPr>
        <w:pStyle w:val="22"/>
        <w:ind w:firstLine="640"/>
        <w:rPr>
          <w:shd w:val="clear" w:color="auto" w:fill="auto"/>
        </w:rPr>
      </w:pPr>
      <w:r>
        <w:rPr>
          <w:rFonts w:hint="eastAsia"/>
          <w:shd w:val="clear" w:color="auto" w:fill="auto"/>
        </w:rPr>
        <w:t>按照规划控制、基础先行、功能配套、生态友好的原则，统筹推进城乡基础设施、公共服务设施建设，严控新增用地，合理绿地布局，突出地域文化特色，因地制宜推进城镇乡村发展。引导县城集约发展，结合用地条件、环境承载能力等要素，通过控制疏解、重点培育等方式加强生态保护和环境修复，合理疏导人口转移。有序建设云盖寺镇等特色小城镇，突出集约节约利用土地，体现地域文化特色，推进合曼般若小镇、磨石沟童话小镇等建设，引导和促进人口、产业、公共资源等要素向特色集镇集聚。</w:t>
      </w:r>
    </w:p>
    <w:p w14:paraId="794DCC55">
      <w:pPr>
        <w:pStyle w:val="22"/>
        <w:ind w:firstLine="643"/>
        <w:rPr>
          <w:b/>
          <w:shd w:val="clear" w:color="auto" w:fill="auto"/>
        </w:rPr>
      </w:pPr>
      <w:r>
        <w:rPr>
          <w:b/>
          <w:shd w:val="clear" w:color="auto" w:fill="auto"/>
        </w:rPr>
        <w:t>牵头单位</w:t>
      </w:r>
      <w:r>
        <w:rPr>
          <w:rFonts w:hint="eastAsia"/>
          <w:b/>
          <w:shd w:val="clear" w:color="auto" w:fill="auto"/>
        </w:rPr>
        <w:t>：</w:t>
      </w:r>
      <w:r>
        <w:rPr>
          <w:b/>
          <w:shd w:val="clear" w:color="auto" w:fill="auto"/>
        </w:rPr>
        <w:t>县住建局</w:t>
      </w:r>
      <w:r>
        <w:rPr>
          <w:rFonts w:hint="eastAsia"/>
          <w:b/>
          <w:shd w:val="clear" w:color="auto" w:fill="auto"/>
        </w:rPr>
        <w:t>；</w:t>
      </w:r>
      <w:r>
        <w:rPr>
          <w:b/>
          <w:shd w:val="clear" w:color="auto" w:fill="auto"/>
        </w:rPr>
        <w:t>配合单位</w:t>
      </w:r>
      <w:r>
        <w:rPr>
          <w:rFonts w:hint="eastAsia"/>
          <w:b/>
          <w:shd w:val="clear" w:color="auto" w:fill="auto"/>
        </w:rPr>
        <w:t>：</w:t>
      </w:r>
      <w:r>
        <w:rPr>
          <w:b/>
          <w:shd w:val="clear" w:color="auto" w:fill="auto"/>
        </w:rPr>
        <w:t>县资源局</w:t>
      </w:r>
      <w:r>
        <w:rPr>
          <w:rFonts w:hint="eastAsia"/>
          <w:b/>
          <w:shd w:val="clear" w:color="auto" w:fill="auto"/>
        </w:rPr>
        <w:t>、</w:t>
      </w:r>
      <w:r>
        <w:rPr>
          <w:b/>
          <w:shd w:val="clear" w:color="auto" w:fill="auto"/>
        </w:rPr>
        <w:t>县城管局</w:t>
      </w:r>
      <w:r>
        <w:rPr>
          <w:rFonts w:hint="eastAsia"/>
          <w:b/>
          <w:shd w:val="clear" w:color="auto" w:fill="auto"/>
        </w:rPr>
        <w:t>、</w:t>
      </w:r>
      <w:r>
        <w:rPr>
          <w:b/>
          <w:shd w:val="clear" w:color="auto" w:fill="auto"/>
        </w:rPr>
        <w:t>各镇办</w:t>
      </w:r>
    </w:p>
    <w:p w14:paraId="7CB820C6">
      <w:pPr>
        <w:pStyle w:val="29"/>
        <w:spacing w:before="156" w:after="156"/>
        <w:ind w:firstLine="643"/>
        <w:rPr>
          <w:shd w:val="clear" w:color="auto" w:fill="auto"/>
        </w:rPr>
      </w:pPr>
      <w:r>
        <w:rPr>
          <w:rFonts w:hint="eastAsia"/>
          <w:shd w:val="clear" w:color="auto" w:fill="auto"/>
        </w:rPr>
        <w:t>（二）打造美丽宜居乡村</w:t>
      </w:r>
    </w:p>
    <w:p w14:paraId="25F7F658">
      <w:pPr>
        <w:pStyle w:val="22"/>
        <w:ind w:firstLine="640"/>
        <w:rPr>
          <w:shd w:val="clear" w:color="auto" w:fill="auto"/>
        </w:rPr>
      </w:pPr>
      <w:r>
        <w:rPr>
          <w:rFonts w:hint="eastAsia"/>
          <w:shd w:val="clear" w:color="auto" w:fill="auto"/>
        </w:rPr>
        <w:t>立足村庄自然生态资源、环境条件和发展基础，建成一批宜居宜游美丽乡村。推进农村危房改造、饮水安全、电网改造升级、信息化建设和村庄道路硬化、亮化、绿化工程，实现农村人居环境综合整治全覆盖。推进移风易俗、文明进步，提高农村文明程度。云盖寺古镇、柴坪镇文家庙村等历史文化名镇名村和传统村落中的建筑维护和修缮应当按照相关规划的要求实施，保持其传统格局、历史风貌和空间尺度。加强城乡生活污水处理、生活垃圾无害化处理、供排水等公共设施建设，到2025年，县城生活污水集中处理率达到100%。在人口相对集中的村庄推广使用太阳能等清洁能源，统一规划建设生活垃圾处理、污水处理等设施。</w:t>
      </w:r>
    </w:p>
    <w:p w14:paraId="3ECE4EAE">
      <w:pPr>
        <w:pStyle w:val="22"/>
        <w:ind w:firstLine="643"/>
        <w:rPr>
          <w:b/>
          <w:shd w:val="clear" w:color="auto" w:fill="auto"/>
        </w:rPr>
      </w:pPr>
      <w:r>
        <w:rPr>
          <w:rFonts w:hint="eastAsia"/>
          <w:b/>
          <w:shd w:val="clear" w:color="auto" w:fill="auto"/>
        </w:rPr>
        <w:t>牵头单位：县农业农村局；配合单位：县住建局、县文旅局、县环境局、各镇办</w:t>
      </w:r>
    </w:p>
    <w:p w14:paraId="3125129C">
      <w:pPr>
        <w:pStyle w:val="29"/>
        <w:spacing w:before="156" w:after="156"/>
        <w:ind w:firstLine="643"/>
        <w:rPr>
          <w:shd w:val="clear" w:color="auto" w:fill="auto"/>
        </w:rPr>
      </w:pPr>
      <w:r>
        <w:rPr>
          <w:rFonts w:hint="eastAsia"/>
          <w:shd w:val="clear" w:color="auto" w:fill="auto"/>
        </w:rPr>
        <w:t>（三）做好移民搬迁工作</w:t>
      </w:r>
    </w:p>
    <w:p w14:paraId="17934483">
      <w:pPr>
        <w:pStyle w:val="22"/>
        <w:ind w:firstLine="640"/>
        <w:rPr>
          <w:shd w:val="clear" w:color="auto" w:fill="auto"/>
        </w:rPr>
      </w:pPr>
      <w:r>
        <w:rPr>
          <w:rFonts w:hint="eastAsia"/>
          <w:shd w:val="clear" w:color="auto" w:fill="auto"/>
        </w:rPr>
        <w:t>县人民政府应当根据经济社会发展状况和秦岭生态环境保护的需要，制定并组织实施移民搬迁计划，科学合理安排、确定移民安置点，做好移民搬迁安置工作。采取优先实施避灾、生态搬迁等措施，引导核心保护区内的居民有序迁出。已经实施移民搬迁的，原有建筑物、构筑物应当限期拆除，恢复生态，实现人与自然和谐发展。</w:t>
      </w:r>
    </w:p>
    <w:p w14:paraId="38543F15">
      <w:pPr>
        <w:pStyle w:val="22"/>
        <w:ind w:firstLine="643"/>
        <w:rPr>
          <w:b/>
          <w:shd w:val="clear" w:color="auto" w:fill="auto"/>
        </w:rPr>
      </w:pPr>
      <w:r>
        <w:rPr>
          <w:rFonts w:hint="eastAsia"/>
          <w:b/>
          <w:shd w:val="clear" w:color="auto" w:fill="auto"/>
        </w:rPr>
        <w:t>责任单位：县移民办</w:t>
      </w:r>
    </w:p>
    <w:p w14:paraId="4BA9EAC9">
      <w:pPr>
        <w:pStyle w:val="29"/>
        <w:spacing w:before="156" w:after="156"/>
        <w:ind w:firstLine="643"/>
        <w:rPr>
          <w:shd w:val="clear" w:color="auto" w:fill="auto"/>
        </w:rPr>
      </w:pPr>
      <w:r>
        <w:rPr>
          <w:rFonts w:hint="eastAsia"/>
          <w:shd w:val="clear" w:color="auto" w:fill="auto"/>
        </w:rPr>
        <w:t>（四）严控房地产开发</w:t>
      </w:r>
    </w:p>
    <w:p w14:paraId="42E0D05E">
      <w:pPr>
        <w:pStyle w:val="22"/>
        <w:ind w:firstLine="640"/>
        <w:rPr>
          <w:b/>
          <w:shd w:val="clear" w:color="auto" w:fill="auto"/>
        </w:rPr>
      </w:pPr>
      <w:r>
        <w:rPr>
          <w:rFonts w:hint="eastAsia"/>
          <w:shd w:val="clear" w:color="auto" w:fill="auto"/>
        </w:rPr>
        <w:t>严格控制房地产开发，在核心保护区、重点保护区禁止房地产开发，在一般保护区进行房地产等各类建设活动，要符合《条例》、国土空间规划、省市秦岭生态环境保护规划和控制性详细规划等的要求，依法办理审批手续。</w:t>
      </w:r>
    </w:p>
    <w:p w14:paraId="6225FAD0">
      <w:pPr>
        <w:pStyle w:val="22"/>
        <w:ind w:firstLine="643"/>
        <w:rPr>
          <w:shd w:val="clear" w:color="auto" w:fill="auto"/>
        </w:rPr>
      </w:pPr>
      <w:r>
        <w:rPr>
          <w:rFonts w:hint="eastAsia"/>
          <w:b/>
          <w:shd w:val="clear" w:color="auto" w:fill="auto"/>
        </w:rPr>
        <w:t>责任单位：县资源局；配合单位：县审批局、县住建局</w:t>
      </w:r>
    </w:p>
    <w:p w14:paraId="5C1EAF69">
      <w:pPr>
        <w:pStyle w:val="29"/>
        <w:spacing w:before="156" w:after="156"/>
        <w:ind w:firstLine="643"/>
        <w:rPr>
          <w:shd w:val="clear" w:color="auto" w:fill="auto"/>
        </w:rPr>
      </w:pPr>
      <w:r>
        <w:rPr>
          <w:rFonts w:hint="eastAsia"/>
          <w:shd w:val="clear" w:color="auto" w:fill="auto"/>
        </w:rPr>
        <w:t>（五）规范宗教活动场所</w:t>
      </w:r>
    </w:p>
    <w:p w14:paraId="76614A60">
      <w:pPr>
        <w:pStyle w:val="22"/>
        <w:ind w:firstLine="640"/>
        <w:rPr>
          <w:shd w:val="clear" w:color="auto" w:fill="auto"/>
        </w:rPr>
      </w:pPr>
      <w:r>
        <w:rPr>
          <w:rFonts w:hint="eastAsia"/>
          <w:shd w:val="clear" w:color="auto" w:fill="auto"/>
        </w:rPr>
        <w:t>在核心保护区、重点保护区不得新建、扩建、异地重建宗教活动场所。在宗教活动场所内改建或者新建建筑物、在寺观教堂内修建大型露天宗教造像，在一般保护区新建、扩建、异地重建宗教活动场所，应当符合《宗教事务条例》、《陕西省宗教事务条例》、《陕西省秦岭生态环境保护条例》和省市秦岭生态环境保护规划、国土空间规划等要求，并依法办理审批手续。</w:t>
      </w:r>
    </w:p>
    <w:p w14:paraId="0F003B6A">
      <w:pPr>
        <w:pStyle w:val="22"/>
        <w:ind w:firstLine="643"/>
        <w:rPr>
          <w:b/>
          <w:shd w:val="clear" w:color="auto" w:fill="auto"/>
        </w:rPr>
      </w:pPr>
      <w:r>
        <w:rPr>
          <w:rFonts w:hint="eastAsia"/>
          <w:b/>
          <w:shd w:val="clear" w:color="auto" w:fill="auto"/>
        </w:rPr>
        <w:t>牵头单位：县委统战部；配合单位：县审批局</w:t>
      </w:r>
    </w:p>
    <w:p w14:paraId="4AA813E3">
      <w:pPr>
        <w:pStyle w:val="29"/>
        <w:spacing w:before="156" w:after="156"/>
        <w:ind w:firstLine="643"/>
        <w:rPr>
          <w:rFonts w:hint="default" w:eastAsia="楷体_GB2312"/>
          <w:color w:val="auto"/>
          <w:shd w:val="clear" w:color="auto" w:fill="auto"/>
          <w:lang w:val="en-US" w:eastAsia="zh-CN"/>
        </w:rPr>
      </w:pPr>
      <w:r>
        <w:rPr>
          <w:rFonts w:hint="eastAsia"/>
          <w:color w:val="auto"/>
          <w:shd w:val="clear" w:color="auto" w:fill="auto"/>
        </w:rPr>
        <w:t>（六）加强</w:t>
      </w:r>
      <w:r>
        <w:rPr>
          <w:rFonts w:hint="eastAsia"/>
          <w:color w:val="auto"/>
          <w:shd w:val="clear" w:color="auto" w:fill="auto"/>
          <w:lang w:eastAsia="zh-CN"/>
        </w:rPr>
        <w:t>文物保护单位</w:t>
      </w:r>
      <w:r>
        <w:rPr>
          <w:rFonts w:hint="eastAsia"/>
          <w:color w:val="auto"/>
          <w:shd w:val="clear" w:color="auto" w:fill="auto"/>
          <w:lang w:val="en-US" w:eastAsia="zh-CN"/>
        </w:rPr>
        <w:t>管理</w:t>
      </w:r>
    </w:p>
    <w:p w14:paraId="19A7EC30">
      <w:pPr>
        <w:pStyle w:val="22"/>
        <w:ind w:firstLine="640"/>
        <w:rPr>
          <w:shd w:val="clear" w:color="auto" w:fill="auto"/>
        </w:rPr>
      </w:pPr>
      <w:r>
        <w:rPr>
          <w:rFonts w:hint="eastAsia"/>
          <w:shd w:val="clear" w:color="auto" w:fill="auto"/>
        </w:rPr>
        <w:t>在倪氏民居、黑龙庙、朝阳观、米粮寺及烈士陵墓、太阳山乾初洞摩崖题刻等文物保护单位保护范围内，不得进行其他建设工程或者爆破、钻探、挖掘等作业，因特殊情况需要进行的，必须严格按规定报批，并确保文物保护单位的安全。在文物保护单位的建设控制地带内实施建设工程，应严格按照《</w:t>
      </w:r>
      <w:r>
        <w:rPr>
          <w:rFonts w:hint="eastAsia"/>
          <w:shd w:val="clear" w:color="auto" w:fill="auto"/>
          <w:lang w:val="en-US" w:eastAsia="zh-CN"/>
        </w:rPr>
        <w:t>中华人民共和国</w:t>
      </w:r>
      <w:r>
        <w:rPr>
          <w:rFonts w:hint="eastAsia"/>
          <w:shd w:val="clear" w:color="auto" w:fill="auto"/>
        </w:rPr>
        <w:t>文物保护法》有关规定执行。</w:t>
      </w:r>
    </w:p>
    <w:p w14:paraId="2765A09A">
      <w:pPr>
        <w:pStyle w:val="22"/>
        <w:ind w:firstLine="643"/>
        <w:rPr>
          <w:shd w:val="clear" w:color="auto" w:fill="auto"/>
        </w:rPr>
      </w:pPr>
      <w:r>
        <w:rPr>
          <w:rFonts w:hint="eastAsia"/>
          <w:b/>
          <w:shd w:val="clear" w:color="auto" w:fill="auto"/>
        </w:rPr>
        <w:t>牵头单位：县文旅局；配合单位：县审批局</w:t>
      </w:r>
    </w:p>
    <w:p w14:paraId="725560E4">
      <w:pPr>
        <w:pStyle w:val="29"/>
        <w:spacing w:before="156" w:after="156"/>
        <w:ind w:firstLine="643"/>
        <w:rPr>
          <w:shd w:val="clear" w:color="auto" w:fill="auto"/>
        </w:rPr>
      </w:pPr>
      <w:r>
        <w:rPr>
          <w:rFonts w:hint="eastAsia"/>
          <w:shd w:val="clear" w:color="auto" w:fill="auto"/>
        </w:rPr>
        <w:t>（七）积极推进殡葬改革</w:t>
      </w:r>
    </w:p>
    <w:p w14:paraId="31241AE1">
      <w:pPr>
        <w:pStyle w:val="22"/>
        <w:ind w:firstLine="640"/>
        <w:rPr>
          <w:shd w:val="clear" w:color="auto" w:fill="auto"/>
        </w:rPr>
      </w:pPr>
      <w:r>
        <w:rPr>
          <w:rFonts w:hint="eastAsia"/>
          <w:shd w:val="clear" w:color="auto" w:fill="auto"/>
        </w:rPr>
        <w:t>积极推进殡葬改革，鼓励火葬、生态葬，严禁在西康铁路、102省道等铁路、国省道路沿线，集中式饮用水水源地布局殡葬场所，已有的应采取生态改造等方式进行整治。建设的殡葬设施，应当按照节地生态、保护环境的原则统一规划，并符合《条例》和国土空间规划等的要求，依法办理审批手续。</w:t>
      </w:r>
    </w:p>
    <w:p w14:paraId="060742FC">
      <w:pPr>
        <w:pStyle w:val="22"/>
        <w:ind w:firstLine="643"/>
        <w:rPr>
          <w:b/>
          <w:shd w:val="clear" w:color="auto" w:fill="auto"/>
        </w:rPr>
      </w:pPr>
      <w:r>
        <w:rPr>
          <w:b/>
          <w:shd w:val="clear" w:color="auto" w:fill="auto"/>
        </w:rPr>
        <w:t>牵头单位</w:t>
      </w:r>
      <w:r>
        <w:rPr>
          <w:rFonts w:hint="eastAsia"/>
          <w:b/>
          <w:shd w:val="clear" w:color="auto" w:fill="auto"/>
        </w:rPr>
        <w:t>：</w:t>
      </w:r>
      <w:r>
        <w:rPr>
          <w:b/>
          <w:shd w:val="clear" w:color="auto" w:fill="auto"/>
        </w:rPr>
        <w:t>县民政局</w:t>
      </w:r>
      <w:r>
        <w:rPr>
          <w:rFonts w:hint="eastAsia"/>
          <w:b/>
          <w:shd w:val="clear" w:color="auto" w:fill="auto"/>
        </w:rPr>
        <w:t>；配合单位：县审批局、县资源局、县住建局、县环境局、县水利局、各镇办</w:t>
      </w:r>
    </w:p>
    <w:p w14:paraId="7F2FE2B2">
      <w:pPr>
        <w:pStyle w:val="32"/>
        <w:spacing w:before="156" w:after="156"/>
        <w:ind w:firstLine="640"/>
        <w:rPr>
          <w:shd w:val="clear" w:color="auto" w:fill="auto"/>
        </w:rPr>
      </w:pPr>
      <w:bookmarkStart w:id="40" w:name="_Toc59298958"/>
      <w:r>
        <w:rPr>
          <w:rFonts w:hint="eastAsia"/>
          <w:shd w:val="clear" w:color="auto" w:fill="auto"/>
        </w:rPr>
        <w:t>四、旅游开发建设保护</w:t>
      </w:r>
      <w:bookmarkEnd w:id="40"/>
    </w:p>
    <w:p w14:paraId="66F64AEF">
      <w:pPr>
        <w:pStyle w:val="29"/>
        <w:spacing w:before="156" w:after="156"/>
        <w:ind w:firstLine="643"/>
        <w:rPr>
          <w:shd w:val="clear" w:color="auto" w:fill="auto"/>
        </w:rPr>
      </w:pPr>
      <w:r>
        <w:rPr>
          <w:rFonts w:hint="eastAsia"/>
          <w:shd w:val="clear" w:color="auto" w:fill="auto"/>
        </w:rPr>
        <w:t>（一）推进旅游开发与生态环境相协调</w:t>
      </w:r>
    </w:p>
    <w:p w14:paraId="2E925B6B">
      <w:pPr>
        <w:pStyle w:val="22"/>
        <w:ind w:firstLine="640"/>
        <w:rPr>
          <w:shd w:val="clear" w:color="auto" w:fill="auto"/>
        </w:rPr>
      </w:pPr>
      <w:r>
        <w:rPr>
          <w:rFonts w:hint="eastAsia"/>
          <w:shd w:val="clear" w:color="auto" w:fill="auto"/>
        </w:rPr>
        <w:t>秦岭旅游景区要适度利用生态资源，明确最大承载量，科学规划、合理设计、总体布局，实现建筑风格、体量与当地生态环境相协调。旅游景区规划要突出生态旅游，符合《条例》和省市秦岭生态环境保护规划、秦岭旅游专项规划等相关要求，依法报有关行政主管部门批准。在依法批准的旅游景区开展生态旅游、建设旅游项目，应当严格执行批准的旅游景区规划，景区管理机构应当科学制定旅游景区生态环境保护方案，由县人民政府审定后组织实施。旅游基础设施建设应当符合省市秦岭生态环境保护规划的要求，并依法办理审批手续。在旅游景区规划建设索道、滑道、滑雪（草）场等项目时，应当依法进行环境影响评价，报省人民政府审定后，依法办理审批手续。景区建设、运营应当推广使用环保材料和运输工具，避免和减少对生态环境造成不利影响。对自然生态环境和自然景观有损害的旅游景点和设施，由县人民政府责令限期整改、关闭或者拆除。</w:t>
      </w:r>
    </w:p>
    <w:p w14:paraId="698F78B3">
      <w:pPr>
        <w:pStyle w:val="29"/>
        <w:spacing w:before="156" w:after="156"/>
        <w:ind w:firstLine="643"/>
        <w:rPr>
          <w:shd w:val="clear" w:color="auto" w:fill="auto"/>
        </w:rPr>
      </w:pPr>
      <w:r>
        <w:rPr>
          <w:rFonts w:hint="eastAsia"/>
          <w:shd w:val="clear" w:color="auto" w:fill="auto"/>
        </w:rPr>
        <w:t>（二）加强旅游景区景点公共卫生管理</w:t>
      </w:r>
    </w:p>
    <w:p w14:paraId="42F17689">
      <w:pPr>
        <w:pStyle w:val="22"/>
        <w:ind w:firstLine="640"/>
        <w:rPr>
          <w:shd w:val="clear" w:color="auto" w:fill="auto"/>
        </w:rPr>
      </w:pPr>
      <w:r>
        <w:rPr>
          <w:rFonts w:hint="eastAsia"/>
          <w:shd w:val="clear" w:color="auto" w:fill="auto"/>
        </w:rPr>
        <w:t>切实加强景区、景点公共卫生管理，实施景区、景点污水、垃圾处理工程，对产生的生活垃圾实行分类收集、统一清运、集中处置；对产生的生活污水进行无害化处理，保证污水达标排放；禁止随意弃置和排放生活垃圾、污水；优先使用清洁能源，旅游观光车及其他服务设施应符合环境保护要求。</w:t>
      </w:r>
    </w:p>
    <w:p w14:paraId="480AC1F5">
      <w:pPr>
        <w:pStyle w:val="29"/>
        <w:spacing w:before="156" w:after="156"/>
        <w:ind w:firstLine="643"/>
        <w:rPr>
          <w:shd w:val="clear" w:color="auto" w:fill="auto"/>
        </w:rPr>
      </w:pPr>
      <w:r>
        <w:rPr>
          <w:rFonts w:hint="eastAsia"/>
          <w:shd w:val="clear" w:color="auto" w:fill="auto"/>
        </w:rPr>
        <w:t>（三）加强乡村旅游建设生态环境保护</w:t>
      </w:r>
    </w:p>
    <w:p w14:paraId="0AF0A91A">
      <w:pPr>
        <w:pStyle w:val="22"/>
        <w:ind w:firstLine="640"/>
        <w:rPr>
          <w:shd w:val="clear" w:color="auto" w:fill="auto"/>
        </w:rPr>
      </w:pPr>
      <w:r>
        <w:rPr>
          <w:rFonts w:hint="eastAsia"/>
          <w:shd w:val="clear" w:color="auto" w:fill="auto"/>
        </w:rPr>
        <w:t>乡村旅游应当由县人民政府统一规划，合理布局。乡村旅游经营集中的地方，县、镇（办）、村（社区）应当加强乡村旅游厕所、垃圾容器、垃圾集中处理场所等环境卫生基础设施建设和改造，对生活垃圾和污水统一处置。禁止在核心保护区和饮用水水源保护区、地质灾害隐患点范围内开办农家乐、民宿，禁止占用耕地、林地、河道、公路用地及公路建筑控制区开办农家乐、民宿。加强农家乐规范化管理，规范审批手续，按照规定设置生活垃圾、污水收集处理装置，不得随意排放。规划建设农家乐、民宿要依托原有村落、自有房屋条件，符合《条例》和国土空间规划、省市秦岭生态环境保护规划、乡村规划等相关规划要求。规划建设沿山公路两侧的农家乐、民宿，应尽量控制在交通便利、人口较集中的村镇周围，其污染防治纳入村镇环境整治进行统一规划建设。鼓励具备条件地区发展农家乐、民宿集群式旅游村，突出区域、地域特色，开展“星级农家乐、民宿”创建工作。</w:t>
      </w:r>
    </w:p>
    <w:p w14:paraId="1938C14D">
      <w:pPr>
        <w:pStyle w:val="29"/>
        <w:spacing w:before="156" w:after="156"/>
        <w:ind w:firstLine="643"/>
        <w:rPr>
          <w:shd w:val="clear" w:color="auto" w:fill="auto"/>
        </w:rPr>
      </w:pPr>
      <w:r>
        <w:rPr>
          <w:rFonts w:hint="eastAsia"/>
          <w:shd w:val="clear" w:color="auto" w:fill="auto"/>
        </w:rPr>
        <w:t>（四）严格遵守文明旅游行为规范</w:t>
      </w:r>
    </w:p>
    <w:p w14:paraId="75640B4B">
      <w:pPr>
        <w:pStyle w:val="22"/>
        <w:ind w:firstLine="640"/>
      </w:pPr>
      <w:r>
        <w:rPr>
          <w:rFonts w:hint="eastAsia"/>
        </w:rPr>
        <w:t>在秦岭旅游景区游览线路以外或者没有道路通行的区域，组织开展穿越、登山等活动，组织者应当向参与者作出风险提示，事先依法经有关部门批准并向县体育行政管理部门备案。进入秦岭旅游的人员，应当遵守有关森林等法律法规、景区管理规定和游客文明行为规范，爱护旅游资源，提倡垃圾减量、垃圾自带，保护生态环境。不得乱砍滥挖、非法捕鱼狩猎、非法野外使用明火、随意丢弃废弃物以及其他破坏秦岭生态环境的行为。</w:t>
      </w:r>
    </w:p>
    <w:p w14:paraId="6EB7AB22">
      <w:pPr>
        <w:pStyle w:val="22"/>
        <w:ind w:firstLine="643"/>
        <w:rPr>
          <w:b/>
          <w:shd w:val="clear" w:color="auto" w:fill="auto"/>
        </w:rPr>
      </w:pPr>
      <w:r>
        <w:rPr>
          <w:rFonts w:hint="eastAsia"/>
          <w:b/>
          <w:shd w:val="clear" w:color="auto" w:fill="auto"/>
        </w:rPr>
        <w:t>牵头单位：县文旅局；配合单位：县审批局、县发改局、县环境局、县住建局、县农业农村局、县资源局、县科教局</w:t>
      </w:r>
    </w:p>
    <w:p w14:paraId="49E503C1">
      <w:pPr>
        <w:pStyle w:val="22"/>
        <w:ind w:firstLine="640"/>
        <w:rPr>
          <w:shd w:val="clear" w:color="auto" w:fill="auto"/>
        </w:rPr>
      </w:pPr>
    </w:p>
    <w:p w14:paraId="3FC9D696">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3D3A139B">
      <w:pPr>
        <w:pStyle w:val="26"/>
        <w:spacing w:before="312" w:after="312"/>
        <w:rPr>
          <w:shd w:val="clear" w:color="auto" w:fill="auto"/>
        </w:rPr>
      </w:pPr>
      <w:bookmarkStart w:id="41" w:name="_Toc59298959"/>
      <w:r>
        <w:rPr>
          <w:shd w:val="clear" w:color="auto" w:fill="auto"/>
        </w:rPr>
        <w:t>第</w:t>
      </w:r>
      <w:r>
        <w:rPr>
          <w:rFonts w:hint="eastAsia"/>
          <w:shd w:val="clear" w:color="auto" w:fill="auto"/>
        </w:rPr>
        <w:t>九</w:t>
      </w:r>
      <w:r>
        <w:rPr>
          <w:shd w:val="clear" w:color="auto" w:fill="auto"/>
        </w:rPr>
        <w:t>章</w:t>
      </w:r>
      <w:r>
        <w:rPr>
          <w:rFonts w:hint="eastAsia"/>
          <w:shd w:val="clear" w:color="auto" w:fill="auto"/>
        </w:rPr>
        <w:t xml:space="preserve"> </w:t>
      </w:r>
      <w:r>
        <w:rPr>
          <w:shd w:val="clear" w:color="auto" w:fill="auto"/>
        </w:rPr>
        <w:t xml:space="preserve"> </w:t>
      </w:r>
      <w:r>
        <w:rPr>
          <w:rFonts w:hint="eastAsia"/>
          <w:shd w:val="clear" w:color="auto" w:fill="auto"/>
        </w:rPr>
        <w:t>深化</w:t>
      </w:r>
      <w:r>
        <w:rPr>
          <w:shd w:val="clear" w:color="auto" w:fill="auto"/>
        </w:rPr>
        <w:t>重点领域治理</w:t>
      </w:r>
      <w:r>
        <w:rPr>
          <w:rFonts w:hint="eastAsia"/>
          <w:shd w:val="clear" w:color="auto" w:fill="auto"/>
        </w:rPr>
        <w:t>，</w:t>
      </w:r>
      <w:r>
        <w:rPr>
          <w:shd w:val="clear" w:color="auto" w:fill="auto"/>
        </w:rPr>
        <w:t>提</w:t>
      </w:r>
      <w:r>
        <w:rPr>
          <w:rFonts w:hint="eastAsia"/>
          <w:shd w:val="clear" w:color="auto" w:fill="auto"/>
        </w:rPr>
        <w:t>升</w:t>
      </w:r>
      <w:r>
        <w:rPr>
          <w:shd w:val="clear" w:color="auto" w:fill="auto"/>
        </w:rPr>
        <w:t>区域生态功能</w:t>
      </w:r>
      <w:bookmarkEnd w:id="41"/>
    </w:p>
    <w:p w14:paraId="780EF659">
      <w:pPr>
        <w:pStyle w:val="22"/>
        <w:ind w:firstLine="640"/>
        <w:rPr>
          <w:shd w:val="clear" w:color="auto" w:fill="auto"/>
        </w:rPr>
      </w:pPr>
      <w:r>
        <w:rPr>
          <w:rFonts w:hint="eastAsia"/>
          <w:shd w:val="clear" w:color="auto" w:fill="auto"/>
        </w:rPr>
        <w:t>坚持保护优先、节约优先、自然恢复为主的方针，统筹山水林田湖草系统治理，对矿山生态环境、农村人居环境、重金属污染等重点领域实施修复治理，合理制定相关修复治理方案，建立相对稳定和良性发展的生态系统。</w:t>
      </w:r>
    </w:p>
    <w:p w14:paraId="710DBAC0">
      <w:pPr>
        <w:pStyle w:val="32"/>
        <w:spacing w:before="156" w:after="156"/>
        <w:ind w:firstLine="640"/>
        <w:rPr>
          <w:shd w:val="clear" w:color="auto" w:fill="auto"/>
        </w:rPr>
      </w:pPr>
      <w:bookmarkStart w:id="42" w:name="_Toc59298960"/>
      <w:r>
        <w:rPr>
          <w:shd w:val="clear" w:color="auto" w:fill="auto"/>
        </w:rPr>
        <w:t>一</w:t>
      </w:r>
      <w:r>
        <w:rPr>
          <w:rFonts w:hint="eastAsia"/>
          <w:shd w:val="clear" w:color="auto" w:fill="auto"/>
        </w:rPr>
        <w:t>、开展矿山生态环境保护与治理</w:t>
      </w:r>
      <w:bookmarkEnd w:id="42"/>
    </w:p>
    <w:p w14:paraId="15C8D81D">
      <w:pPr>
        <w:pStyle w:val="29"/>
        <w:spacing w:before="156" w:after="156"/>
        <w:ind w:firstLine="643"/>
        <w:rPr>
          <w:shd w:val="clear" w:color="auto" w:fill="auto"/>
        </w:rPr>
      </w:pPr>
      <w:r>
        <w:rPr>
          <w:rFonts w:hint="eastAsia"/>
          <w:shd w:val="clear" w:color="auto" w:fill="auto"/>
        </w:rPr>
        <w:t>（一）落实矿山生态环境治理责任</w:t>
      </w:r>
    </w:p>
    <w:p w14:paraId="55177EB1">
      <w:pPr>
        <w:pStyle w:val="22"/>
        <w:ind w:firstLine="640"/>
      </w:pPr>
      <w:r>
        <w:rPr>
          <w:rFonts w:hint="eastAsia"/>
        </w:rPr>
        <w:t>矿产资源开发企业应当编制矿山地质环境保护与土地复垦、生态环境恢复治理方案，报县自然资源、生态环境行政主管部门备案。因矿产资源开发造成生态环境破坏的，矿产资源开发企业应当依法承担生态环境治理修复和损害赔偿责任。对矿产资源开发企业不履行生态环境修复治理责任或者修复治理不符合要求的，由县自然资源、生态环境行政主管部门依法治理，所需费用由矿产资源开发企业承担；对无法确定责任人的，由县人民政府指定相关行政主管部门负责矿山环境污染治理和生态修复。严肃查处不履行生态环境治理修复责任或者治理修复不符合要求等行为。</w:t>
      </w:r>
    </w:p>
    <w:p w14:paraId="36C252DC">
      <w:pPr>
        <w:pStyle w:val="29"/>
        <w:spacing w:before="156" w:after="156"/>
        <w:ind w:firstLine="643"/>
        <w:rPr>
          <w:shd w:val="clear" w:color="auto" w:fill="auto"/>
        </w:rPr>
      </w:pPr>
      <w:r>
        <w:rPr>
          <w:rFonts w:hint="eastAsia"/>
          <w:shd w:val="clear" w:color="auto" w:fill="auto"/>
        </w:rPr>
        <w:t>（二）加强矿山生态环境调查监测</w:t>
      </w:r>
    </w:p>
    <w:p w14:paraId="57F1862E">
      <w:pPr>
        <w:pStyle w:val="22"/>
        <w:ind w:firstLine="640"/>
        <w:rPr>
          <w:shd w:val="clear" w:color="auto" w:fill="auto"/>
        </w:rPr>
      </w:pPr>
      <w:r>
        <w:rPr>
          <w:shd w:val="clear" w:color="auto" w:fill="auto"/>
        </w:rPr>
        <w:t>实施矿山地质环境调查工程</w:t>
      </w:r>
      <w:r>
        <w:rPr>
          <w:rFonts w:hint="eastAsia"/>
          <w:shd w:val="clear" w:color="auto" w:fill="auto"/>
        </w:rPr>
        <w:t>，定期</w:t>
      </w:r>
      <w:r>
        <w:rPr>
          <w:shd w:val="clear" w:color="auto" w:fill="auto"/>
        </w:rPr>
        <w:t>对全县所辖的53个矿山开展地质环境调查工作</w:t>
      </w:r>
      <w:r>
        <w:rPr>
          <w:rFonts w:hint="eastAsia"/>
          <w:shd w:val="clear" w:color="auto" w:fill="auto"/>
        </w:rPr>
        <w:t>，编制《镇安县矿山地质环境调查报告》，及时更新县域内各矿山的地质环境问题现状。实施矿山地质环境监测工程，充分利用卫星遥感等先进技术，加快监测基础设施建设，建立县级地质环境动态监测体系，加强矿区地质灾害监测、地形地貌景观破坏监测。</w:t>
      </w:r>
    </w:p>
    <w:p w14:paraId="67B57EC1">
      <w:pPr>
        <w:pStyle w:val="29"/>
        <w:spacing w:before="156" w:after="156"/>
        <w:ind w:firstLine="643"/>
        <w:rPr>
          <w:shd w:val="clear" w:color="auto" w:fill="auto"/>
        </w:rPr>
      </w:pPr>
      <w:r>
        <w:rPr>
          <w:rFonts w:hint="eastAsia"/>
          <w:shd w:val="clear" w:color="auto" w:fill="auto"/>
        </w:rPr>
        <w:t>（三）实施矿山生态环境修复治理</w:t>
      </w:r>
    </w:p>
    <w:p w14:paraId="38CCAF78">
      <w:pPr>
        <w:pStyle w:val="22"/>
        <w:ind w:firstLine="640"/>
        <w:rPr>
          <w:shd w:val="clear" w:color="auto" w:fill="auto"/>
        </w:rPr>
      </w:pPr>
      <w:r>
        <w:rPr>
          <w:rFonts w:hint="eastAsia"/>
          <w:shd w:val="clear" w:color="auto" w:fill="auto"/>
        </w:rPr>
        <w:t>按照“保证安全功能、突出生态功能、兼顾景观功能”原则，采取宜林则林、宜草则草、宜藤植藤等措施，综合治理矿产资源开发、削山采石等造成的生态破坏和环境污染，恢复区域整体生态功能。积极倡导“政府主导、政策扶持、社会参与、开发式治理、市场化运作”模式，加快推进历史遗留矿山地质环境恢复治理。矿产资源开发企业应当建立矿山地质环境治理恢复与土地复垦基金，按照企业提取、政府监管、确保需要、规范使用的原则管理，用于本单位履行矿山地质环境治理恢复与土地复垦义务的费用支出。到2025年历史遗留矿山地质环境治理率达到</w:t>
      </w:r>
      <w:r>
        <w:rPr>
          <w:shd w:val="clear" w:color="auto" w:fill="auto"/>
        </w:rPr>
        <w:t>50</w:t>
      </w:r>
      <w:r>
        <w:rPr>
          <w:rFonts w:hint="eastAsia"/>
          <w:shd w:val="clear" w:color="auto" w:fill="auto"/>
        </w:rPr>
        <w:t>%以上。</w:t>
      </w:r>
    </w:p>
    <w:p w14:paraId="647941A9">
      <w:pPr>
        <w:pStyle w:val="22"/>
        <w:ind w:firstLine="643"/>
      </w:pPr>
      <w:r>
        <w:rPr>
          <w:rFonts w:hint="eastAsia"/>
          <w:b/>
          <w:shd w:val="clear" w:color="auto" w:fill="auto"/>
        </w:rPr>
        <w:t>牵头单位：县资源局；配合单位：县环境局、县林业局、县财政局、矿产资源开发企业</w:t>
      </w:r>
    </w:p>
    <w:p w14:paraId="3B9832B2">
      <w:pPr>
        <w:pStyle w:val="32"/>
        <w:spacing w:before="156" w:after="156"/>
        <w:ind w:firstLine="640"/>
        <w:rPr>
          <w:shd w:val="clear" w:color="auto" w:fill="auto"/>
        </w:rPr>
      </w:pPr>
      <w:bookmarkStart w:id="43" w:name="_Toc59298961"/>
      <w:r>
        <w:rPr>
          <w:rFonts w:hint="eastAsia"/>
          <w:shd w:val="clear" w:color="auto" w:fill="auto"/>
        </w:rPr>
        <w:t>二、深入实施小水电退出与整治</w:t>
      </w:r>
      <w:bookmarkEnd w:id="43"/>
    </w:p>
    <w:p w14:paraId="34840099">
      <w:pPr>
        <w:pStyle w:val="29"/>
        <w:spacing w:before="156" w:after="156"/>
        <w:ind w:firstLine="643"/>
      </w:pPr>
      <w:r>
        <w:rPr>
          <w:rFonts w:hint="eastAsia"/>
        </w:rPr>
        <w:t>（一）严守管控原则</w:t>
      </w:r>
    </w:p>
    <w:p w14:paraId="32896207">
      <w:pPr>
        <w:pStyle w:val="22"/>
        <w:ind w:firstLine="640"/>
      </w:pPr>
      <w:r>
        <w:rPr>
          <w:rFonts w:hint="eastAsia"/>
        </w:rPr>
        <w:t>在核心保护区、重点保护区内不得新建水电站。一般保护区原则上不再新建小水电站项目。核心保护区内已建成或者在建的水电站，由县人民政府依法组织限期退出、拆除，恢复生态。重点保护区内已建成或者在建的水电站，由县人民政府依法组织限期整治或者退出、拆除，恢复生态。依据《商洛市秦岭区域小水电退出、拆除和整改方案》，由县人民政府组织限期完成小水电退出、拆除和整治工作，确保不出现秦岭生态环境保护风险点。</w:t>
      </w:r>
    </w:p>
    <w:p w14:paraId="61C897C2">
      <w:pPr>
        <w:pStyle w:val="29"/>
        <w:spacing w:before="156" w:after="156"/>
        <w:ind w:firstLine="643"/>
      </w:pPr>
      <w:r>
        <w:rPr>
          <w:rFonts w:hint="eastAsia"/>
        </w:rPr>
        <w:t>（二）开展排查整治</w:t>
      </w:r>
    </w:p>
    <w:p w14:paraId="6756EEA2">
      <w:pPr>
        <w:pStyle w:val="22"/>
        <w:ind w:firstLine="640"/>
      </w:pPr>
      <w:r>
        <w:rPr>
          <w:rFonts w:hint="eastAsia"/>
        </w:rPr>
        <w:t>按照秦岭生态环境核心、重点和一般保护区管控要求，对镇安县秦岭保护区内小水电再一次进行拉网式排查和评估。对违规建设的小水电站项目坚决取缔或退出、拆除，恢复生态；对保留的项目，造成河流脱流的，应当通过改建或新建生态流量泄放设施、调整调度运行方式等措施，保证河流正常生态需水要求，对影响水生生物洄游繁殖的应当补建水生生物洄游通道和远程监管设施。</w:t>
      </w:r>
    </w:p>
    <w:p w14:paraId="10C54379">
      <w:pPr>
        <w:pStyle w:val="22"/>
        <w:ind w:firstLine="643"/>
        <w:rPr>
          <w:b/>
          <w:shd w:val="clear" w:color="auto" w:fill="auto"/>
        </w:rPr>
      </w:pPr>
      <w:r>
        <w:rPr>
          <w:rFonts w:hint="eastAsia"/>
          <w:b/>
          <w:shd w:val="clear" w:color="auto" w:fill="auto"/>
        </w:rPr>
        <w:t>牵头单位：县发改局；配合单位：县水利局、县资源局、县农业农村局、县环境局</w:t>
      </w:r>
    </w:p>
    <w:p w14:paraId="7FA869CE">
      <w:pPr>
        <w:pStyle w:val="32"/>
        <w:spacing w:before="156" w:after="156"/>
        <w:ind w:firstLine="640"/>
        <w:rPr>
          <w:shd w:val="clear" w:color="auto" w:fill="auto"/>
        </w:rPr>
      </w:pPr>
      <w:bookmarkStart w:id="44" w:name="_Toc59298962"/>
      <w:r>
        <w:rPr>
          <w:rFonts w:hint="eastAsia"/>
          <w:shd w:val="clear" w:color="auto" w:fill="auto"/>
        </w:rPr>
        <w:t>三、加强尾矿库安全监督管理</w:t>
      </w:r>
      <w:bookmarkEnd w:id="44"/>
    </w:p>
    <w:p w14:paraId="0E63BE78">
      <w:pPr>
        <w:pStyle w:val="29"/>
        <w:spacing w:before="156" w:after="156"/>
        <w:ind w:firstLine="643"/>
        <w:rPr>
          <w:shd w:val="clear" w:color="auto" w:fill="auto"/>
        </w:rPr>
      </w:pPr>
      <w:r>
        <w:rPr>
          <w:rFonts w:hint="eastAsia"/>
          <w:shd w:val="clear" w:color="auto" w:fill="auto"/>
        </w:rPr>
        <w:t>（一）夯实企业主体责任</w:t>
      </w:r>
    </w:p>
    <w:p w14:paraId="238EA928">
      <w:pPr>
        <w:pStyle w:val="22"/>
        <w:ind w:firstLine="640"/>
        <w:rPr>
          <w:shd w:val="clear" w:color="auto" w:fill="auto"/>
        </w:rPr>
      </w:pPr>
      <w:r>
        <w:rPr>
          <w:rFonts w:hint="eastAsia"/>
          <w:shd w:val="clear" w:color="auto" w:fill="auto"/>
        </w:rPr>
        <w:t>矿产资源开发企业应当依法履行尾矿库安全生产、环境保护主体责任，排查治理安全隐患和环境风险，确保尾矿库安全运行，对尾矿库安全终身负责。对已解散或者关闭、破产的矿产资源开发企业尾矿库的管理，由矿产资源开发企业的出资人或者其上级主管单位负责；无法确定责任人的，由县人民政府指定管理单位负责。矿产资源开发企业对产生的尾矿应当按照尾矿库设计要求排放堆存，尾矿库应当按照有关规定建立在线监测系统。尾矿库停止使用后，矿山企业应当按照国家有关规定闭库，防止造成环境污染和生态破坏。</w:t>
      </w:r>
    </w:p>
    <w:p w14:paraId="73719CF8">
      <w:pPr>
        <w:pStyle w:val="22"/>
        <w:ind w:firstLine="643"/>
        <w:rPr>
          <w:b/>
          <w:shd w:val="clear" w:color="auto" w:fill="auto"/>
        </w:rPr>
      </w:pPr>
      <w:r>
        <w:rPr>
          <w:rFonts w:hint="eastAsia"/>
          <w:b/>
          <w:shd w:val="clear" w:color="auto" w:fill="auto"/>
        </w:rPr>
        <w:t>牵头单位：县应急局；配合单位：县资源局、县环境局、矿产资源开发企业</w:t>
      </w:r>
    </w:p>
    <w:p w14:paraId="108E460C">
      <w:pPr>
        <w:pStyle w:val="29"/>
        <w:spacing w:before="156" w:after="156"/>
        <w:ind w:firstLine="643"/>
        <w:rPr>
          <w:shd w:val="clear" w:color="auto" w:fill="auto"/>
        </w:rPr>
      </w:pPr>
      <w:r>
        <w:rPr>
          <w:rFonts w:hint="eastAsia"/>
          <w:shd w:val="clear" w:color="auto" w:fill="auto"/>
        </w:rPr>
        <w:t>（二）加大安全监管力度</w:t>
      </w:r>
    </w:p>
    <w:p w14:paraId="483CBE25">
      <w:pPr>
        <w:pStyle w:val="22"/>
        <w:ind w:firstLine="640"/>
        <w:rPr>
          <w:shd w:val="clear" w:color="auto" w:fill="auto"/>
        </w:rPr>
      </w:pPr>
      <w:r>
        <w:rPr>
          <w:rFonts w:hint="eastAsia"/>
          <w:shd w:val="clear" w:color="auto" w:fill="auto"/>
        </w:rPr>
        <w:t>全面排查全县11座尾矿库环境风险和安全隐患，督促尾矿库企业建立健全尾矿库隐患排查治理制度，逐库建立排查台账，编制“一库一策”治理方案。深入推行四级包抓制度，明确尾矿库安全监管包抓责任人，对11座尾矿库逐一落实1名县级领导、1名部门领导、1名镇（办）领导、1名企业领导包抓责任人，全面落实安全监管责任。鼓励青铜关镇、永乐街道办、月河镇、高峰镇、云盖寺镇、米粮镇、大坪镇、回龙镇及各尾矿库所属企业进一步修订完善应急救援预案，强化应急演练，切实做好应急救援物资和装备储备。</w:t>
      </w:r>
    </w:p>
    <w:p w14:paraId="2E223583">
      <w:pPr>
        <w:pStyle w:val="22"/>
        <w:ind w:firstLine="643"/>
        <w:rPr>
          <w:b/>
          <w:shd w:val="clear" w:color="auto" w:fill="auto"/>
        </w:rPr>
      </w:pPr>
      <w:r>
        <w:rPr>
          <w:rFonts w:hint="eastAsia"/>
          <w:b/>
          <w:shd w:val="clear" w:color="auto" w:fill="auto"/>
        </w:rPr>
        <w:t>牵头单位：县应急局；配合单位：县资源局、县环境局、涉及镇办、矿产资源开发企业</w:t>
      </w:r>
    </w:p>
    <w:p w14:paraId="6A78AC37">
      <w:pPr>
        <w:pStyle w:val="29"/>
        <w:spacing w:before="156" w:after="156"/>
        <w:ind w:firstLine="643"/>
        <w:rPr>
          <w:shd w:val="clear" w:color="auto" w:fill="auto"/>
        </w:rPr>
      </w:pPr>
      <w:r>
        <w:rPr>
          <w:rFonts w:hint="eastAsia"/>
          <w:shd w:val="clear" w:color="auto" w:fill="auto"/>
        </w:rPr>
        <w:t>（三）推进尾矿综合利用</w:t>
      </w:r>
    </w:p>
    <w:p w14:paraId="3273AC19">
      <w:pPr>
        <w:pStyle w:val="22"/>
        <w:ind w:firstLine="640"/>
        <w:rPr>
          <w:shd w:val="clear" w:color="auto" w:fill="auto"/>
        </w:rPr>
      </w:pPr>
      <w:r>
        <w:rPr>
          <w:rFonts w:hint="eastAsia"/>
          <w:shd w:val="clear" w:color="auto" w:fill="auto"/>
        </w:rPr>
        <w:t>实施固体废弃物综合利用示范工程，提高固体废弃物资源化利用率，减少污染物排放。积极推广减少“三废”的生物氧化、压热氧化等黄金选冶技术，通过生物提取等先进选矿手段，综合利用矿产资源，挖掘黄金尾矿综合利用价值。加强产学研合作，致力技术创新，加快科技成果转化，建成一批尾矿综合利用企业。</w:t>
      </w:r>
    </w:p>
    <w:p w14:paraId="7FC82E99">
      <w:pPr>
        <w:pStyle w:val="22"/>
        <w:ind w:firstLine="643"/>
        <w:rPr>
          <w:b/>
          <w:shd w:val="clear" w:color="auto" w:fill="auto"/>
        </w:rPr>
      </w:pPr>
      <w:r>
        <w:rPr>
          <w:rFonts w:hint="eastAsia"/>
          <w:b/>
          <w:shd w:val="clear" w:color="auto" w:fill="auto"/>
        </w:rPr>
        <w:t>牵头单位：县发改局；</w:t>
      </w:r>
      <w:r>
        <w:rPr>
          <w:b/>
          <w:shd w:val="clear" w:color="auto" w:fill="auto"/>
        </w:rPr>
        <w:t>配合单位</w:t>
      </w:r>
      <w:r>
        <w:rPr>
          <w:rFonts w:hint="eastAsia"/>
          <w:b/>
          <w:shd w:val="clear" w:color="auto" w:fill="auto"/>
        </w:rPr>
        <w:t>：县应急局、县环境局、县经贸局</w:t>
      </w:r>
    </w:p>
    <w:p w14:paraId="1A9E0710">
      <w:pPr>
        <w:pStyle w:val="32"/>
        <w:spacing w:before="156" w:after="156"/>
        <w:ind w:firstLine="640"/>
        <w:rPr>
          <w:shd w:val="clear" w:color="auto" w:fill="auto"/>
        </w:rPr>
      </w:pPr>
      <w:bookmarkStart w:id="45" w:name="_Toc59298963"/>
      <w:r>
        <w:rPr>
          <w:rFonts w:hint="eastAsia"/>
          <w:shd w:val="clear" w:color="auto" w:fill="auto"/>
        </w:rPr>
        <w:t>四、加强地质灾害防治工作</w:t>
      </w:r>
      <w:bookmarkEnd w:id="45"/>
    </w:p>
    <w:p w14:paraId="28257943">
      <w:pPr>
        <w:pStyle w:val="29"/>
        <w:spacing w:before="156" w:after="156"/>
        <w:ind w:firstLine="643"/>
      </w:pPr>
      <w:r>
        <w:rPr>
          <w:rFonts w:hint="eastAsia"/>
        </w:rPr>
        <w:t>（一）开展地质灾害调查评价</w:t>
      </w:r>
    </w:p>
    <w:p w14:paraId="14056FC4">
      <w:pPr>
        <w:pStyle w:val="22"/>
        <w:ind w:firstLine="640"/>
      </w:pPr>
      <w:r>
        <w:t>开展</w:t>
      </w:r>
      <w:r>
        <w:rPr>
          <w:rFonts w:hint="eastAsia"/>
        </w:rPr>
        <w:t>地质灾害调查与评价，摸清全县崩塌、滑坡、泥石流等地质灾害发育地带和数量，科学分析降水等致灾因素，有计划地进行重点城镇地质灾害评估，完成地质灾害易发区和重点防治区划定。根据秦岭地质环境变化情况，适时组织开展重点区域地质灾害补充调查。</w:t>
      </w:r>
    </w:p>
    <w:p w14:paraId="3B81AB55">
      <w:pPr>
        <w:pStyle w:val="29"/>
        <w:spacing w:before="156" w:after="156"/>
        <w:ind w:firstLine="643"/>
        <w:rPr>
          <w:shd w:val="clear" w:color="auto" w:fill="auto"/>
        </w:rPr>
      </w:pPr>
      <w:r>
        <w:rPr>
          <w:rFonts w:hint="eastAsia"/>
          <w:shd w:val="clear" w:color="auto" w:fill="auto"/>
        </w:rPr>
        <w:t>（二）加强地质灾害监测预警</w:t>
      </w:r>
    </w:p>
    <w:p w14:paraId="40A9B883">
      <w:pPr>
        <w:pStyle w:val="22"/>
        <w:ind w:firstLine="640"/>
        <w:rPr>
          <w:shd w:val="clear" w:color="auto" w:fill="auto"/>
        </w:rPr>
      </w:pPr>
      <w:r>
        <w:rPr>
          <w:rFonts w:hint="eastAsia"/>
          <w:shd w:val="clear" w:color="auto" w:fill="auto"/>
        </w:rPr>
        <w:t>加强地质灾害监测工作，了解和掌握灾害的发生和演变规律，适时捕捉地质灾害临近暴发成灾信息，及时预报地质灾害的发生和发展趋势，从而减轻地质灾害造成的损失。全面夯实县、镇、村、组四级监测预警责任，加强汛前、汛期地质灾害巡回检查，落实好汛期24小时带值班制度，及时准确上报相关信息，确保不出现责任事故。加强地质灾害群测群防工作，各镇（办）应妥善维护辖区已有的群测群防监测点的监测设施，对于各地质灾害点，要落实监测、预防责任人，确保地质灾害监测、预防工作有效开展。</w:t>
      </w:r>
    </w:p>
    <w:p w14:paraId="17CF9467">
      <w:pPr>
        <w:pStyle w:val="29"/>
        <w:spacing w:before="156" w:after="156"/>
        <w:ind w:firstLine="643"/>
        <w:rPr>
          <w:shd w:val="clear" w:color="auto" w:fill="auto"/>
        </w:rPr>
      </w:pPr>
      <w:r>
        <w:rPr>
          <w:rFonts w:hint="eastAsia"/>
          <w:shd w:val="clear" w:color="auto" w:fill="auto"/>
        </w:rPr>
        <w:t>（三）夯实地质灾害防治责任</w:t>
      </w:r>
    </w:p>
    <w:p w14:paraId="02BC7011">
      <w:pPr>
        <w:pStyle w:val="22"/>
        <w:ind w:firstLine="640"/>
      </w:pPr>
      <w:r>
        <w:t>县自然资源行政主管部门</w:t>
      </w:r>
      <w:r>
        <w:rPr>
          <w:rFonts w:hint="eastAsia"/>
        </w:rPr>
        <w:t>要认真做好地质灾害防治的组织、协调、指导、监督工作，加强与发改、民政、住建、交通、水利、气象、应急等部门的协作，强化地质灾害防治工作。各镇（办）要成立相应的地质灾害防治机构，参照全县突发地质灾害应急预案及地质灾害防治方案，制定并落实本辖区的突发地质灾害应急预案及地质灾害防治方案，建立健全并落实镇（办）、村、组三级行政责任制和监测人员责任制。</w:t>
      </w:r>
    </w:p>
    <w:p w14:paraId="6AE4C580">
      <w:pPr>
        <w:pStyle w:val="22"/>
        <w:ind w:firstLine="643"/>
      </w:pPr>
      <w:r>
        <w:rPr>
          <w:rFonts w:hint="eastAsia"/>
          <w:b/>
          <w:shd w:val="clear" w:color="auto" w:fill="auto"/>
        </w:rPr>
        <w:t>牵头单位：县资源局；配合单位：县发改局、县民政局、县住建局、县交通局、县气象局、县应急局、县科教局、各镇办</w:t>
      </w:r>
    </w:p>
    <w:p w14:paraId="58551245">
      <w:pPr>
        <w:pStyle w:val="32"/>
        <w:spacing w:before="156" w:after="156"/>
        <w:ind w:firstLine="640"/>
        <w:rPr>
          <w:shd w:val="clear" w:color="auto" w:fill="auto"/>
        </w:rPr>
      </w:pPr>
      <w:bookmarkStart w:id="46" w:name="_Toc59298964"/>
      <w:r>
        <w:rPr>
          <w:rFonts w:hint="eastAsia"/>
          <w:shd w:val="clear" w:color="auto" w:fill="auto"/>
        </w:rPr>
        <w:t>五、强化</w:t>
      </w:r>
      <w:r>
        <w:rPr>
          <w:shd w:val="clear" w:color="auto" w:fill="auto"/>
        </w:rPr>
        <w:t>农村环境综合整治</w:t>
      </w:r>
      <w:bookmarkEnd w:id="46"/>
    </w:p>
    <w:p w14:paraId="52AAB37D">
      <w:pPr>
        <w:pStyle w:val="29"/>
        <w:spacing w:before="156" w:after="156"/>
        <w:ind w:firstLine="643"/>
        <w:rPr>
          <w:shd w:val="clear" w:color="auto" w:fill="auto"/>
        </w:rPr>
      </w:pPr>
      <w:r>
        <w:rPr>
          <w:rFonts w:hint="eastAsia"/>
          <w:shd w:val="clear" w:color="auto" w:fill="auto"/>
        </w:rPr>
        <w:t>（一）全面治理农村生活垃圾</w:t>
      </w:r>
    </w:p>
    <w:p w14:paraId="79B494C1">
      <w:pPr>
        <w:pStyle w:val="22"/>
        <w:ind w:firstLine="640"/>
        <w:rPr>
          <w:shd w:val="clear" w:color="auto" w:fill="auto"/>
        </w:rPr>
      </w:pPr>
      <w:r>
        <w:rPr>
          <w:rFonts w:hint="eastAsia"/>
          <w:shd w:val="clear" w:color="auto" w:fill="auto"/>
        </w:rPr>
        <w:t>大力推广符合县域实际的生活垃圾“户分类、村收集、镇转运、县（镇）处理”模式，统筹抓好垃圾分类投放、收集、运输和处理等环节的具体工作。编制《镇安县农村生活垃圾处理专项规划》，以镇（办）为单元，合理规划建设农村生活垃圾收集屋、中转站和处理厂。积极实施“八清一改”行动，以清洁河道、道路、田园、民居、圈厕、山体六大板块为重点，全面清理村庄内外、道路两侧、集中安置点周围垃圾，严禁直接焚烧、露天乱堆垃圾。</w:t>
      </w:r>
      <w:r>
        <w:rPr>
          <w:shd w:val="clear" w:color="auto" w:fill="auto"/>
        </w:rPr>
        <w:t>到</w:t>
      </w:r>
      <w:r>
        <w:rPr>
          <w:rFonts w:hint="eastAsia"/>
          <w:shd w:val="clear" w:color="auto" w:fill="auto"/>
        </w:rPr>
        <w:t>2</w:t>
      </w:r>
      <w:r>
        <w:rPr>
          <w:shd w:val="clear" w:color="auto" w:fill="auto"/>
        </w:rPr>
        <w:t>025年</w:t>
      </w:r>
      <w:r>
        <w:rPr>
          <w:rFonts w:hint="eastAsia"/>
          <w:shd w:val="clear" w:color="auto" w:fill="auto"/>
        </w:rPr>
        <w:t>，农村生活垃圾无害化处理率达到</w:t>
      </w:r>
      <w:r>
        <w:rPr>
          <w:shd w:val="clear" w:color="auto" w:fill="auto"/>
        </w:rPr>
        <w:t>90</w:t>
      </w:r>
      <w:r>
        <w:rPr>
          <w:rFonts w:hint="eastAsia"/>
          <w:shd w:val="clear" w:color="auto" w:fill="auto"/>
        </w:rPr>
        <w:t>%以上。</w:t>
      </w:r>
    </w:p>
    <w:p w14:paraId="3C040694">
      <w:pPr>
        <w:pStyle w:val="22"/>
        <w:ind w:firstLine="643"/>
        <w:rPr>
          <w:b/>
          <w:shd w:val="clear" w:color="auto" w:fill="auto"/>
        </w:rPr>
      </w:pPr>
      <w:r>
        <w:rPr>
          <w:rFonts w:hint="eastAsia"/>
          <w:b/>
          <w:shd w:val="clear" w:color="auto" w:fill="auto"/>
        </w:rPr>
        <w:t>牵头单位：县农业农村局；配合单位：县住建局、县城管局、县环境局、各镇办</w:t>
      </w:r>
    </w:p>
    <w:p w14:paraId="1FBBA1DB">
      <w:pPr>
        <w:pStyle w:val="29"/>
        <w:spacing w:before="156" w:after="156"/>
        <w:ind w:firstLine="643"/>
        <w:rPr>
          <w:shd w:val="clear" w:color="auto" w:fill="auto"/>
        </w:rPr>
      </w:pPr>
      <w:r>
        <w:rPr>
          <w:rFonts w:hint="eastAsia"/>
          <w:shd w:val="clear" w:color="auto" w:fill="auto"/>
        </w:rPr>
        <w:t>（二）有序治理农村生活污水</w:t>
      </w:r>
    </w:p>
    <w:p w14:paraId="7C3D1E34">
      <w:pPr>
        <w:pStyle w:val="22"/>
        <w:ind w:firstLine="640"/>
        <w:rPr>
          <w:shd w:val="clear" w:color="auto" w:fill="auto"/>
        </w:rPr>
      </w:pPr>
      <w:r>
        <w:rPr>
          <w:rFonts w:hint="eastAsia"/>
          <w:shd w:val="clear" w:color="auto" w:fill="auto"/>
        </w:rPr>
        <w:t>全面摸清全县农村生活污水治理底数，编制完成《镇安县农村污水处理专项规划》，实行农村生活污水统一规划、统一建设、统一运行、统一管理。积极推广低成本、低能耗、易维护、高效率的污水处理技术，以房前屋后、池塘沟渠为重点，解决黑臭水体乱排乱放问题。以旬河、乾佑河沿岸为重点，加快集镇、搬迁点污水处理厂建设，积极推进城镇污水处理设施和服务向农村延伸。加快实施月亮湾至新镇安中学生活污水处理设施建设等项目，到2</w:t>
      </w:r>
      <w:r>
        <w:rPr>
          <w:shd w:val="clear" w:color="auto" w:fill="auto"/>
        </w:rPr>
        <w:t>025年</w:t>
      </w:r>
      <w:r>
        <w:rPr>
          <w:rFonts w:hint="eastAsia"/>
          <w:shd w:val="clear" w:color="auto" w:fill="auto"/>
        </w:rPr>
        <w:t>，</w:t>
      </w:r>
      <w:r>
        <w:rPr>
          <w:shd w:val="clear" w:color="auto" w:fill="auto"/>
        </w:rPr>
        <w:t>农村生活污水有效治理的行政村达到60</w:t>
      </w:r>
      <w:r>
        <w:rPr>
          <w:rFonts w:hint="eastAsia"/>
          <w:shd w:val="clear" w:color="auto" w:fill="auto"/>
        </w:rPr>
        <w:t>%</w:t>
      </w:r>
      <w:r>
        <w:rPr>
          <w:shd w:val="clear" w:color="auto" w:fill="auto"/>
        </w:rPr>
        <w:t>以上</w:t>
      </w:r>
      <w:r>
        <w:rPr>
          <w:rFonts w:hint="eastAsia"/>
          <w:shd w:val="clear" w:color="auto" w:fill="auto"/>
        </w:rPr>
        <w:t>。</w:t>
      </w:r>
    </w:p>
    <w:p w14:paraId="12AB9D7B">
      <w:pPr>
        <w:pStyle w:val="22"/>
        <w:ind w:firstLine="643"/>
        <w:rPr>
          <w:b/>
          <w:shd w:val="clear" w:color="auto" w:fill="auto"/>
        </w:rPr>
      </w:pPr>
      <w:r>
        <w:rPr>
          <w:b/>
          <w:shd w:val="clear" w:color="auto" w:fill="auto"/>
        </w:rPr>
        <w:t>牵头单位</w:t>
      </w:r>
      <w:r>
        <w:rPr>
          <w:rFonts w:hint="eastAsia"/>
          <w:b/>
          <w:shd w:val="clear" w:color="auto" w:fill="auto"/>
        </w:rPr>
        <w:t>：</w:t>
      </w:r>
      <w:r>
        <w:rPr>
          <w:b/>
          <w:shd w:val="clear" w:color="auto" w:fill="auto"/>
        </w:rPr>
        <w:t>县环境局</w:t>
      </w:r>
      <w:r>
        <w:rPr>
          <w:rFonts w:hint="eastAsia"/>
          <w:b/>
          <w:shd w:val="clear" w:color="auto" w:fill="auto"/>
        </w:rPr>
        <w:t>；</w:t>
      </w:r>
      <w:r>
        <w:rPr>
          <w:b/>
          <w:shd w:val="clear" w:color="auto" w:fill="auto"/>
        </w:rPr>
        <w:t>配合单位</w:t>
      </w:r>
      <w:r>
        <w:rPr>
          <w:rFonts w:hint="eastAsia"/>
          <w:b/>
          <w:shd w:val="clear" w:color="auto" w:fill="auto"/>
        </w:rPr>
        <w:t>：县农业农村局、县住建局、各镇办</w:t>
      </w:r>
    </w:p>
    <w:p w14:paraId="4FBCB450">
      <w:pPr>
        <w:pStyle w:val="29"/>
        <w:spacing w:before="156" w:after="156"/>
        <w:ind w:firstLine="643"/>
        <w:rPr>
          <w:shd w:val="clear" w:color="auto" w:fill="auto"/>
        </w:rPr>
      </w:pPr>
      <w:r>
        <w:rPr>
          <w:rFonts w:hint="eastAsia"/>
          <w:shd w:val="clear" w:color="auto" w:fill="auto"/>
        </w:rPr>
        <w:t>（三）大力推进农村厕所革命</w:t>
      </w:r>
    </w:p>
    <w:p w14:paraId="155E51FB">
      <w:pPr>
        <w:pStyle w:val="22"/>
        <w:ind w:firstLine="640"/>
        <w:rPr>
          <w:shd w:val="clear" w:color="auto" w:fill="auto"/>
        </w:rPr>
      </w:pPr>
      <w:r>
        <w:rPr>
          <w:rFonts w:hint="eastAsia"/>
          <w:shd w:val="clear" w:color="auto" w:fill="auto"/>
        </w:rPr>
        <w:t>积极</w:t>
      </w:r>
      <w:r>
        <w:rPr>
          <w:shd w:val="clear" w:color="auto" w:fill="auto"/>
        </w:rPr>
        <w:t>推广三格化粪池式卫生厕所</w:t>
      </w:r>
      <w:r>
        <w:rPr>
          <w:rFonts w:hint="eastAsia"/>
          <w:shd w:val="clear" w:color="auto" w:fill="auto"/>
        </w:rPr>
        <w:t>，</w:t>
      </w:r>
      <w:r>
        <w:rPr>
          <w:shd w:val="clear" w:color="auto" w:fill="auto"/>
        </w:rPr>
        <w:t>全面完成</w:t>
      </w:r>
      <w:r>
        <w:rPr>
          <w:rFonts w:hint="eastAsia"/>
          <w:shd w:val="clear" w:color="auto" w:fill="auto"/>
        </w:rPr>
        <w:t>全县5</w:t>
      </w:r>
      <w:r>
        <w:rPr>
          <w:shd w:val="clear" w:color="auto" w:fill="auto"/>
        </w:rPr>
        <w:t>5所农村学校旱厕改造任务</w:t>
      </w:r>
      <w:r>
        <w:rPr>
          <w:rFonts w:hint="eastAsia"/>
          <w:shd w:val="clear" w:color="auto" w:fill="auto"/>
        </w:rPr>
        <w:t>。对人口规模较大的村庄及木王镇桂林村、云盖寺镇岩湾村、青铜关镇丰收村等乡村旅游景区，鼓励配套建设A级以上无害化公共卫生厕所。建立厕所改造质量管理制度，县卫生健康、农业农村行政主管部门及各镇（办）要按照建设标准，组织技术人员，现场指导改厕标准和流程。到2</w:t>
      </w:r>
      <w:r>
        <w:rPr>
          <w:shd w:val="clear" w:color="auto" w:fill="auto"/>
        </w:rPr>
        <w:t>025年</w:t>
      </w:r>
      <w:r>
        <w:rPr>
          <w:rFonts w:hint="eastAsia"/>
          <w:shd w:val="clear" w:color="auto" w:fill="auto"/>
        </w:rPr>
        <w:t>，</w:t>
      </w:r>
      <w:r>
        <w:rPr>
          <w:shd w:val="clear" w:color="auto" w:fill="auto"/>
        </w:rPr>
        <w:t>全县农村卫生厕所普及率达到85</w:t>
      </w:r>
      <w:r>
        <w:rPr>
          <w:rFonts w:hint="eastAsia"/>
          <w:shd w:val="clear" w:color="auto" w:fill="auto"/>
        </w:rPr>
        <w:t>%</w:t>
      </w:r>
      <w:r>
        <w:rPr>
          <w:shd w:val="clear" w:color="auto" w:fill="auto"/>
        </w:rPr>
        <w:t>以上</w:t>
      </w:r>
      <w:r>
        <w:rPr>
          <w:rFonts w:hint="eastAsia"/>
          <w:shd w:val="clear" w:color="auto" w:fill="auto"/>
        </w:rPr>
        <w:t>。</w:t>
      </w:r>
    </w:p>
    <w:p w14:paraId="4AB4F1FD">
      <w:pPr>
        <w:pStyle w:val="22"/>
        <w:ind w:firstLine="643"/>
        <w:rPr>
          <w:b/>
          <w:shd w:val="clear" w:color="auto" w:fill="auto"/>
        </w:rPr>
      </w:pPr>
      <w:r>
        <w:rPr>
          <w:rFonts w:hint="eastAsia"/>
          <w:b/>
          <w:shd w:val="clear" w:color="auto" w:fill="auto"/>
        </w:rPr>
        <w:t>牵头单位：县农业农村局；配合单位：县卫健局、县文旅局、县环境局、</w:t>
      </w:r>
      <w:r>
        <w:rPr>
          <w:b/>
          <w:shd w:val="clear" w:color="auto" w:fill="auto"/>
        </w:rPr>
        <w:t>各镇办</w:t>
      </w:r>
    </w:p>
    <w:p w14:paraId="58E71581">
      <w:pPr>
        <w:pStyle w:val="29"/>
        <w:spacing w:before="156" w:after="156"/>
        <w:ind w:firstLine="643"/>
        <w:rPr>
          <w:shd w:val="clear" w:color="auto" w:fill="auto"/>
        </w:rPr>
      </w:pPr>
      <w:r>
        <w:rPr>
          <w:rFonts w:hint="eastAsia"/>
          <w:shd w:val="clear" w:color="auto" w:fill="auto"/>
        </w:rPr>
        <w:t>（四）实施村容村貌提升行动</w:t>
      </w:r>
    </w:p>
    <w:p w14:paraId="78DEBBA2">
      <w:pPr>
        <w:pStyle w:val="22"/>
        <w:ind w:firstLine="640"/>
      </w:pPr>
      <w:r>
        <w:rPr>
          <w:rFonts w:hint="eastAsia"/>
        </w:rPr>
        <w:t>新建农房、移民搬迁安置房要严格体量和风貌控制，突出乡土特色和地域民族特点，传统民居要在严格保护的前提下加以修缮。以村庄主要街道两侧、群众集中活动场所、乡村集市区、中小学校、镇（办）卫生院等重要场所为重点，完善公共照明设施。对乡村周边裸露山体及村庄、河堤、道路绿化进行高标准、专业化设计，充分利用闲置土地植树造林，建设绿色生态村庄。</w:t>
      </w:r>
    </w:p>
    <w:p w14:paraId="7BDA3E65">
      <w:pPr>
        <w:pStyle w:val="22"/>
        <w:ind w:firstLine="643"/>
        <w:rPr>
          <w:b/>
        </w:rPr>
      </w:pPr>
      <w:r>
        <w:rPr>
          <w:b/>
        </w:rPr>
        <w:t>牵头单位</w:t>
      </w:r>
      <w:r>
        <w:rPr>
          <w:rFonts w:hint="eastAsia"/>
          <w:b/>
        </w:rPr>
        <w:t>：</w:t>
      </w:r>
      <w:r>
        <w:rPr>
          <w:b/>
        </w:rPr>
        <w:t>县农业农村局</w:t>
      </w:r>
      <w:r>
        <w:rPr>
          <w:rFonts w:hint="eastAsia"/>
          <w:b/>
        </w:rPr>
        <w:t>；</w:t>
      </w:r>
      <w:r>
        <w:rPr>
          <w:b/>
        </w:rPr>
        <w:t>配合单位</w:t>
      </w:r>
      <w:r>
        <w:rPr>
          <w:rFonts w:hint="eastAsia"/>
          <w:b/>
        </w:rPr>
        <w:t>：</w:t>
      </w:r>
      <w:r>
        <w:rPr>
          <w:b/>
        </w:rPr>
        <w:t>县住建局</w:t>
      </w:r>
      <w:r>
        <w:rPr>
          <w:rFonts w:hint="eastAsia"/>
          <w:b/>
        </w:rPr>
        <w:t>、</w:t>
      </w:r>
      <w:r>
        <w:rPr>
          <w:b/>
        </w:rPr>
        <w:t>县林业局</w:t>
      </w:r>
      <w:r>
        <w:rPr>
          <w:rFonts w:hint="eastAsia"/>
          <w:b/>
        </w:rPr>
        <w:t>、</w:t>
      </w:r>
      <w:r>
        <w:rPr>
          <w:b/>
        </w:rPr>
        <w:t>各镇办</w:t>
      </w:r>
    </w:p>
    <w:p w14:paraId="7E98B10F">
      <w:pPr>
        <w:pStyle w:val="29"/>
        <w:spacing w:before="156" w:after="156"/>
        <w:ind w:firstLine="643"/>
      </w:pPr>
      <w:r>
        <w:rPr>
          <w:rFonts w:hint="eastAsia"/>
        </w:rPr>
        <w:t>（五）加强农业面源污染防治</w:t>
      </w:r>
    </w:p>
    <w:p w14:paraId="69833D80">
      <w:pPr>
        <w:pStyle w:val="22"/>
        <w:ind w:firstLine="640"/>
      </w:pPr>
      <w:r>
        <w:rPr>
          <w:rFonts w:hint="eastAsia"/>
        </w:rPr>
        <w:t>实施化肥农药零增长行动，在巩固基础工作、继续做好粮食作物测土配方施肥的同时，扩大在设施农业及蔬菜、果树、茶叶等经济园艺作物上的应用。积极推广绿色防控技术，在永乐街道办、大坪镇、高峰镇、米粮镇、西口回族镇建立小麦、玉米、马铃薯病虫害绿色防控示范区。严格按照禁养区、限养区划定执行，合理布局畜禽规模养殖场，配套建设粪便污水贮存、处理、利用设施。积极推广秸秆饲料化、基料化、原料化、能源化等综合利用技术，提高秸秆综合利用率。建立农田残膜的回收利用体系，探索开展可降解地膜试验示范。</w:t>
      </w:r>
    </w:p>
    <w:p w14:paraId="7339E064">
      <w:pPr>
        <w:pStyle w:val="22"/>
        <w:ind w:firstLine="643"/>
        <w:rPr>
          <w:b/>
        </w:rPr>
      </w:pPr>
      <w:r>
        <w:rPr>
          <w:b/>
        </w:rPr>
        <w:t>牵头单位</w:t>
      </w:r>
      <w:r>
        <w:rPr>
          <w:rFonts w:hint="eastAsia"/>
          <w:b/>
        </w:rPr>
        <w:t>：</w:t>
      </w:r>
      <w:r>
        <w:rPr>
          <w:b/>
        </w:rPr>
        <w:t>县农业农村局</w:t>
      </w:r>
      <w:r>
        <w:rPr>
          <w:rFonts w:hint="eastAsia"/>
          <w:b/>
        </w:rPr>
        <w:t>；</w:t>
      </w:r>
      <w:r>
        <w:rPr>
          <w:b/>
        </w:rPr>
        <w:t>配合单位</w:t>
      </w:r>
      <w:r>
        <w:rPr>
          <w:rFonts w:hint="eastAsia"/>
          <w:b/>
        </w:rPr>
        <w:t>：</w:t>
      </w:r>
      <w:r>
        <w:rPr>
          <w:b/>
        </w:rPr>
        <w:t>县环境局</w:t>
      </w:r>
      <w:r>
        <w:rPr>
          <w:rFonts w:hint="eastAsia"/>
          <w:b/>
        </w:rPr>
        <w:t>、各镇办</w:t>
      </w:r>
    </w:p>
    <w:p w14:paraId="373E5891">
      <w:pPr>
        <w:pStyle w:val="32"/>
        <w:spacing w:before="156" w:after="156"/>
        <w:ind w:firstLine="640"/>
        <w:rPr>
          <w:shd w:val="clear" w:color="auto" w:fill="auto"/>
        </w:rPr>
      </w:pPr>
      <w:bookmarkStart w:id="47" w:name="_Toc59298965"/>
      <w:r>
        <w:rPr>
          <w:rFonts w:hint="eastAsia"/>
          <w:shd w:val="clear" w:color="auto" w:fill="auto"/>
        </w:rPr>
        <w:t>六、加强土壤污染防治</w:t>
      </w:r>
      <w:bookmarkEnd w:id="47"/>
    </w:p>
    <w:p w14:paraId="6DD873F0">
      <w:pPr>
        <w:pStyle w:val="29"/>
        <w:spacing w:before="156" w:after="156"/>
        <w:ind w:firstLine="643"/>
        <w:rPr>
          <w:shd w:val="clear" w:color="auto" w:fill="auto"/>
        </w:rPr>
      </w:pPr>
      <w:r>
        <w:rPr>
          <w:rFonts w:hint="eastAsia"/>
          <w:shd w:val="clear" w:color="auto" w:fill="auto"/>
        </w:rPr>
        <w:t>（一）深化土壤污染状况调查</w:t>
      </w:r>
    </w:p>
    <w:p w14:paraId="23E4A00C">
      <w:pPr>
        <w:pStyle w:val="22"/>
        <w:ind w:firstLine="640"/>
        <w:rPr>
          <w:shd w:val="clear" w:color="auto" w:fill="auto"/>
        </w:rPr>
      </w:pPr>
      <w:r>
        <w:rPr>
          <w:shd w:val="clear" w:color="auto" w:fill="auto"/>
        </w:rPr>
        <w:t>补充设置土壤环境质量省控监测点位</w:t>
      </w:r>
      <w:r>
        <w:rPr>
          <w:rFonts w:hint="eastAsia"/>
          <w:shd w:val="clear" w:color="auto" w:fill="auto"/>
        </w:rPr>
        <w:t>，</w:t>
      </w:r>
      <w:r>
        <w:rPr>
          <w:shd w:val="clear" w:color="auto" w:fill="auto"/>
        </w:rPr>
        <w:t>实现土壤环境监测点位全覆盖</w:t>
      </w:r>
      <w:r>
        <w:rPr>
          <w:rFonts w:hint="eastAsia"/>
          <w:shd w:val="clear" w:color="auto" w:fill="auto"/>
        </w:rPr>
        <w:t>。深入开展重点行业企业用地土壤污染状况调查，基本掌握全县重点行业企业用地中的污染地块分布及其环境风险情况，建立污染地块名录和开发利用负面清单，划定土壤环境质量类别，合理确定土地用途，实施分类管控。建立健全土壤环境基础数据库，借助移动互联网、物联网等技术，拓宽数据获取渠道，实现数据动态更新，推进数据共享，进一步提高土壤环境信息化管理能力。</w:t>
      </w:r>
    </w:p>
    <w:p w14:paraId="14DCA888">
      <w:pPr>
        <w:pStyle w:val="29"/>
        <w:spacing w:before="156" w:after="156"/>
        <w:ind w:firstLine="643"/>
        <w:rPr>
          <w:shd w:val="clear" w:color="auto" w:fill="auto"/>
        </w:rPr>
      </w:pPr>
      <w:r>
        <w:rPr>
          <w:rFonts w:hint="eastAsia"/>
          <w:shd w:val="clear" w:color="auto" w:fill="auto"/>
        </w:rPr>
        <w:t>（二）加强重金属污染综合治理</w:t>
      </w:r>
    </w:p>
    <w:p w14:paraId="703A1769">
      <w:pPr>
        <w:pStyle w:val="22"/>
        <w:ind w:firstLine="640"/>
        <w:rPr>
          <w:shd w:val="clear" w:color="auto" w:fill="auto"/>
        </w:rPr>
      </w:pPr>
      <w:r>
        <w:rPr>
          <w:shd w:val="clear" w:color="auto" w:fill="auto"/>
        </w:rPr>
        <w:t>严格执行重金属污染物排放标准并落实相关总量控制指标</w:t>
      </w:r>
      <w:r>
        <w:rPr>
          <w:rFonts w:hint="eastAsia"/>
          <w:shd w:val="clear" w:color="auto" w:fill="auto"/>
        </w:rPr>
        <w:t>。加大涉及重金属污染排放有关行业的清洁生产技术推广力度，鼓励企业开展清洁生产，采用先进技术，使用清洁能源和原料、采用先进的工艺技术与设备，从源头消减污染，对于重点区域内，重点污染企业实施清洁生产的，优先安排国家和地方污染治理资金，助推企业技术工艺升级，提高资源利用率，减少重金属污染物的产生和排放。加强企业重金属自动监测体系建设，建立部门联合监管体系。</w:t>
      </w:r>
    </w:p>
    <w:p w14:paraId="72FD5988">
      <w:pPr>
        <w:pStyle w:val="22"/>
        <w:ind w:firstLine="643"/>
        <w:rPr>
          <w:b/>
          <w:shd w:val="clear" w:color="auto" w:fill="auto"/>
        </w:rPr>
      </w:pPr>
      <w:r>
        <w:rPr>
          <w:rFonts w:hint="eastAsia"/>
          <w:b/>
          <w:shd w:val="clear" w:color="auto" w:fill="auto"/>
        </w:rPr>
        <w:t>牵头单位：县环境局；</w:t>
      </w:r>
      <w:r>
        <w:rPr>
          <w:b/>
          <w:shd w:val="clear" w:color="auto" w:fill="auto"/>
        </w:rPr>
        <w:t>配合单位</w:t>
      </w:r>
      <w:r>
        <w:rPr>
          <w:rFonts w:hint="eastAsia"/>
          <w:b/>
          <w:shd w:val="clear" w:color="auto" w:fill="auto"/>
        </w:rPr>
        <w:t>：县农业农村局、县应急局、县经贸局</w:t>
      </w:r>
    </w:p>
    <w:p w14:paraId="7FA10536">
      <w:pPr>
        <w:pStyle w:val="22"/>
        <w:ind w:firstLine="640"/>
        <w:rPr>
          <w:shd w:val="clear" w:color="auto" w:fill="auto"/>
        </w:rPr>
      </w:pPr>
    </w:p>
    <w:p w14:paraId="5F51E260">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63665D28">
      <w:pPr>
        <w:pStyle w:val="26"/>
        <w:spacing w:before="312" w:after="312"/>
        <w:rPr>
          <w:shd w:val="clear" w:color="auto" w:fill="auto"/>
        </w:rPr>
      </w:pPr>
      <w:bookmarkStart w:id="48" w:name="_Toc59298966"/>
      <w:r>
        <w:rPr>
          <w:shd w:val="clear" w:color="auto" w:fill="auto"/>
        </w:rPr>
        <w:t>第</w:t>
      </w:r>
      <w:r>
        <w:rPr>
          <w:rFonts w:hint="eastAsia"/>
          <w:shd w:val="clear" w:color="auto" w:fill="auto"/>
        </w:rPr>
        <w:t>十</w:t>
      </w:r>
      <w:r>
        <w:rPr>
          <w:shd w:val="clear" w:color="auto" w:fill="auto"/>
        </w:rPr>
        <w:t>章</w:t>
      </w:r>
      <w:r>
        <w:rPr>
          <w:rFonts w:hint="eastAsia"/>
          <w:shd w:val="clear" w:color="auto" w:fill="auto"/>
        </w:rPr>
        <w:t xml:space="preserve"> </w:t>
      </w:r>
      <w:r>
        <w:rPr>
          <w:shd w:val="clear" w:color="auto" w:fill="auto"/>
        </w:rPr>
        <w:t xml:space="preserve"> 构建生态产业体系</w:t>
      </w:r>
      <w:r>
        <w:rPr>
          <w:rFonts w:hint="eastAsia"/>
          <w:shd w:val="clear" w:color="auto" w:fill="auto"/>
        </w:rPr>
        <w:t>，</w:t>
      </w:r>
      <w:r>
        <w:rPr>
          <w:shd w:val="clear" w:color="auto" w:fill="auto"/>
        </w:rPr>
        <w:t>实现绿色循环发展</w:t>
      </w:r>
      <w:bookmarkEnd w:id="48"/>
    </w:p>
    <w:p w14:paraId="59EA9227">
      <w:pPr>
        <w:pStyle w:val="22"/>
        <w:ind w:firstLine="640"/>
        <w:rPr>
          <w:shd w:val="clear" w:color="auto" w:fill="auto"/>
        </w:rPr>
      </w:pPr>
      <w:r>
        <w:rPr>
          <w:rFonts w:hint="eastAsia"/>
          <w:shd w:val="clear" w:color="auto" w:fill="auto"/>
        </w:rPr>
        <w:t>充分挖掘生态、区位、资源、文化“四大潜能”，积极构建绿色循环经济体系，着力培育高山农产、新型材料、大旅游、大健康四大产业，探索生态产品供给能力新方式，加快形成以生态产业化和产业生态化为主体的生态经济体系，以绿色发展促进秦岭大保护，奋力谱写镇安新时代追赶超越新篇章。</w:t>
      </w:r>
    </w:p>
    <w:p w14:paraId="56D8FA90">
      <w:pPr>
        <w:pStyle w:val="32"/>
        <w:spacing w:before="156" w:after="156"/>
        <w:ind w:firstLine="640"/>
        <w:rPr>
          <w:shd w:val="clear" w:color="auto" w:fill="auto"/>
        </w:rPr>
      </w:pPr>
      <w:bookmarkStart w:id="49" w:name="_Toc59298967"/>
      <w:r>
        <w:rPr>
          <w:shd w:val="clear" w:color="auto" w:fill="auto"/>
        </w:rPr>
        <w:t>一</w:t>
      </w:r>
      <w:r>
        <w:rPr>
          <w:rFonts w:hint="eastAsia"/>
          <w:shd w:val="clear" w:color="auto" w:fill="auto"/>
        </w:rPr>
        <w:t>、完善</w:t>
      </w:r>
      <w:r>
        <w:rPr>
          <w:shd w:val="clear" w:color="auto" w:fill="auto"/>
        </w:rPr>
        <w:t>绿色循环经济体系</w:t>
      </w:r>
      <w:bookmarkEnd w:id="49"/>
    </w:p>
    <w:p w14:paraId="5D9226EC">
      <w:pPr>
        <w:pStyle w:val="29"/>
        <w:spacing w:before="156" w:after="156"/>
        <w:ind w:firstLine="643"/>
      </w:pPr>
      <w:r>
        <w:rPr>
          <w:rFonts w:hint="eastAsia"/>
        </w:rPr>
        <w:t>（一）构建资源循环利用体系</w:t>
      </w:r>
    </w:p>
    <w:p w14:paraId="4AEC0E90">
      <w:pPr>
        <w:pStyle w:val="22"/>
        <w:ind w:firstLine="640"/>
      </w:pPr>
      <w:r>
        <w:rPr>
          <w:rFonts w:hint="eastAsia"/>
        </w:rPr>
        <w:t>加快做好矿山废石、建筑垃圾和尾矿等固体废弃物关键技术研发，突出材料精深加工及应用拓展，积极发展“矿原料-初加工产品-精矿深加工-尾矿综合利用-废水回收利用-余热循环利用</w:t>
      </w:r>
      <w:r>
        <w:rPr>
          <w:rFonts w:hint="eastAsia"/>
          <w:lang w:eastAsia="zh-CN"/>
        </w:rPr>
        <w:t>”“</w:t>
      </w:r>
      <w:r>
        <w:rPr>
          <w:rFonts w:hint="eastAsia"/>
        </w:rPr>
        <w:t>建筑垃圾分拣-建筑砌块及水泥预制构件”等循环产业链，加快推动金属、非金属粗加工等产业向“绿色矿业+新材料”方向转型。继续推广较为成熟的“猪-沼-菜（果）”种养结合生态循环模式，构建“种植业-秸秆-畜禽养殖-粪便-沼肥还田</w:t>
      </w:r>
      <w:r>
        <w:rPr>
          <w:rFonts w:hint="eastAsia"/>
          <w:lang w:eastAsia="zh-CN"/>
        </w:rPr>
        <w:t>”“</w:t>
      </w:r>
      <w:r>
        <w:rPr>
          <w:rFonts w:hint="eastAsia"/>
        </w:rPr>
        <w:t>养殖业-畜禽粪便-沼肥-种植业”等循环链条，建立以循环型农业为主导的产品结构。实施垃圾焚烧发电再利用、废旧轮胎裂解、再生资源分拣中心等工程，提高资源循环利用率。推进绿色生产、绿色包装、绿色制造、绿色流通、绿色采购、绿色消费、绿色回收等，降低生产和流通中的能源资源消耗和污染物排放。</w:t>
      </w:r>
    </w:p>
    <w:p w14:paraId="3DCBB4AE">
      <w:pPr>
        <w:pStyle w:val="29"/>
        <w:spacing w:before="156" w:after="156"/>
        <w:ind w:firstLine="643"/>
        <w:rPr>
          <w:shd w:val="clear" w:color="auto" w:fill="auto"/>
        </w:rPr>
      </w:pPr>
      <w:r>
        <w:rPr>
          <w:rFonts w:hint="eastAsia"/>
          <w:shd w:val="clear" w:color="auto" w:fill="auto"/>
        </w:rPr>
        <w:t>（二）加快能源结构优化调整</w:t>
      </w:r>
    </w:p>
    <w:p w14:paraId="4ADF5266">
      <w:pPr>
        <w:pStyle w:val="22"/>
        <w:ind w:firstLine="640"/>
        <w:rPr>
          <w:shd w:val="clear" w:color="auto" w:fill="auto"/>
        </w:rPr>
      </w:pPr>
      <w:r>
        <w:rPr>
          <w:rFonts w:hint="eastAsia"/>
          <w:shd w:val="clear" w:color="auto" w:fill="auto"/>
        </w:rPr>
        <w:t>充分利用县域水力、光伏、生物等资源，推广使用清洁能源，促进可持续发展。加快国网镇安抽水蓄能电站、旬河梯级电站开发等项目建设，规范小水电运营，提升电力供给能力。支持工商业分布式发电、户用分布式发电，建设农光互补复合型电站，扩大光伏开发规模。加大地热能资源勘查开发，充分利用地热能资源。推进“气化镇安”，配合做好安康至西安天然气干线建设，健全城区天然气管网，完善天然气站点布局，增强供气能力。</w:t>
      </w:r>
    </w:p>
    <w:p w14:paraId="2DA0FD32">
      <w:pPr>
        <w:pStyle w:val="29"/>
        <w:spacing w:before="156" w:after="156"/>
        <w:ind w:firstLine="643"/>
        <w:rPr>
          <w:shd w:val="clear" w:color="auto" w:fill="auto"/>
        </w:rPr>
      </w:pPr>
      <w:r>
        <w:rPr>
          <w:rFonts w:hint="eastAsia"/>
          <w:shd w:val="clear" w:color="auto" w:fill="auto"/>
        </w:rPr>
        <w:t>（三）推动工业园区绿色转型</w:t>
      </w:r>
    </w:p>
    <w:p w14:paraId="141E3398">
      <w:pPr>
        <w:pStyle w:val="22"/>
        <w:ind w:firstLine="640"/>
        <w:rPr>
          <w:shd w:val="clear" w:color="auto" w:fill="auto"/>
        </w:rPr>
      </w:pPr>
      <w:r>
        <w:rPr>
          <w:rFonts w:hint="eastAsia"/>
          <w:shd w:val="clear" w:color="auto" w:fill="auto"/>
        </w:rPr>
        <w:t>加强工业节能减排行动力度，落实节能减排目标责任制，实行更严格的环保准入制度，限期关停、转移和提升一批“三高一低”企业。实施工业园区循环化改造和工业企业节能技改行动，</w:t>
      </w:r>
      <w:r>
        <w:rPr>
          <w:shd w:val="clear" w:color="auto" w:fill="auto"/>
        </w:rPr>
        <w:t>围绕重点污染物开展清洁生产技术改造</w:t>
      </w:r>
      <w:r>
        <w:rPr>
          <w:rFonts w:hint="eastAsia"/>
          <w:shd w:val="clear" w:color="auto" w:fill="auto"/>
        </w:rPr>
        <w:t>，</w:t>
      </w:r>
      <w:r>
        <w:rPr>
          <w:shd w:val="clear" w:color="auto" w:fill="auto"/>
        </w:rPr>
        <w:t>推广绿色基础制造工艺</w:t>
      </w:r>
      <w:r>
        <w:rPr>
          <w:rFonts w:hint="eastAsia"/>
          <w:shd w:val="clear" w:color="auto" w:fill="auto"/>
        </w:rPr>
        <w:t>，</w:t>
      </w:r>
      <w:r>
        <w:rPr>
          <w:shd w:val="clear" w:color="auto" w:fill="auto"/>
        </w:rPr>
        <w:t>降低污染物排放强度</w:t>
      </w:r>
      <w:r>
        <w:rPr>
          <w:rFonts w:hint="eastAsia"/>
          <w:shd w:val="clear" w:color="auto" w:fill="auto"/>
        </w:rPr>
        <w:t>。强化部门联动，整合相关部门数据，搭建大数据管理服务平台，构建生产风险天空地一体化监测预警指挥体系，动态监控、实时监测园区企业生产运营活动全过程，及时消除环境隐患，有效防范环境风险。</w:t>
      </w:r>
    </w:p>
    <w:p w14:paraId="65AE0C2F">
      <w:pPr>
        <w:pStyle w:val="22"/>
        <w:ind w:firstLine="643"/>
        <w:rPr>
          <w:b/>
          <w:shd w:val="clear" w:color="auto" w:fill="auto"/>
        </w:rPr>
      </w:pPr>
      <w:r>
        <w:rPr>
          <w:rFonts w:hint="eastAsia"/>
          <w:b/>
          <w:shd w:val="clear" w:color="auto" w:fill="auto"/>
        </w:rPr>
        <w:t>牵头单位：县发改局；</w:t>
      </w:r>
      <w:r>
        <w:rPr>
          <w:b/>
          <w:shd w:val="clear" w:color="auto" w:fill="auto"/>
        </w:rPr>
        <w:t>配合单位</w:t>
      </w:r>
      <w:r>
        <w:rPr>
          <w:rFonts w:hint="eastAsia"/>
          <w:b/>
          <w:shd w:val="clear" w:color="auto" w:fill="auto"/>
        </w:rPr>
        <w:t>：县经贸局、县农业农村局、县环境局、县水利局、工业集中区管委会</w:t>
      </w:r>
    </w:p>
    <w:p w14:paraId="40645028">
      <w:pPr>
        <w:pStyle w:val="32"/>
        <w:spacing w:before="156" w:after="156"/>
        <w:ind w:firstLine="640"/>
        <w:rPr>
          <w:shd w:val="clear" w:color="auto" w:fill="auto"/>
        </w:rPr>
      </w:pPr>
      <w:bookmarkStart w:id="50" w:name="_Toc59298968"/>
      <w:r>
        <w:rPr>
          <w:rFonts w:hint="eastAsia"/>
          <w:shd w:val="clear" w:color="auto" w:fill="auto"/>
        </w:rPr>
        <w:t>二、大力发展高山农产产业</w:t>
      </w:r>
      <w:bookmarkEnd w:id="50"/>
    </w:p>
    <w:p w14:paraId="6363D69C">
      <w:pPr>
        <w:pStyle w:val="29"/>
        <w:spacing w:before="156" w:after="156"/>
        <w:ind w:firstLine="643"/>
        <w:rPr>
          <w:shd w:val="clear" w:color="auto" w:fill="auto"/>
        </w:rPr>
      </w:pPr>
      <w:r>
        <w:rPr>
          <w:rFonts w:hint="eastAsia"/>
          <w:shd w:val="clear" w:color="auto" w:fill="auto"/>
        </w:rPr>
        <w:t>（一）深化特色产业优势</w:t>
      </w:r>
    </w:p>
    <w:p w14:paraId="082D14D6">
      <w:pPr>
        <w:pStyle w:val="22"/>
        <w:ind w:firstLine="640"/>
        <w:rPr>
          <w:shd w:val="clear" w:color="auto" w:fill="auto"/>
        </w:rPr>
      </w:pPr>
      <w:r>
        <w:rPr>
          <w:shd w:val="clear" w:color="auto" w:fill="auto"/>
        </w:rPr>
        <w:t>聚焦</w:t>
      </w:r>
      <w:r>
        <w:rPr>
          <w:rFonts w:hint="eastAsia"/>
          <w:shd w:val="clear" w:color="auto" w:fill="auto"/>
        </w:rPr>
        <w:t>“高山农产大县”发展定位，深入推进“4+X”特色产业体系建设，重点发展烤烟、蚕桑、食用菌、茶叶四大产业，持续提升板栗、核桃、中药材、畜牧养殖等传统产业。做精达仁-柴坪-青铜关茶叶、烤烟、蚕桑产业带，做大木王-月河-云盖寺镇香菇、中药材产业带，做优西口-茅坪畜牧养殖产业带，做强米粮-大坪-铁厂现代农业产业带，做美高峰-庙沟-回龙-永乐农旅融合产业带，实现规模化经营，构建高山农产产业体系。</w:t>
      </w:r>
    </w:p>
    <w:p w14:paraId="44851A60">
      <w:pPr>
        <w:pStyle w:val="29"/>
        <w:spacing w:before="156" w:after="156"/>
        <w:ind w:firstLine="643"/>
        <w:rPr>
          <w:shd w:val="clear" w:color="auto" w:fill="auto"/>
        </w:rPr>
      </w:pPr>
      <w:r>
        <w:rPr>
          <w:rFonts w:hint="eastAsia"/>
          <w:shd w:val="clear" w:color="auto" w:fill="auto"/>
        </w:rPr>
        <w:t>（二）推进产业融合发展</w:t>
      </w:r>
    </w:p>
    <w:p w14:paraId="4151BD66">
      <w:pPr>
        <w:pStyle w:val="22"/>
        <w:ind w:firstLine="640"/>
        <w:rPr>
          <w:shd w:val="clear" w:color="auto" w:fill="auto"/>
        </w:rPr>
      </w:pPr>
      <w:r>
        <w:rPr>
          <w:shd w:val="clear" w:color="auto" w:fill="auto"/>
        </w:rPr>
        <w:t>充分发挥龙头企业</w:t>
      </w:r>
      <w:r>
        <w:rPr>
          <w:rFonts w:hint="eastAsia"/>
          <w:shd w:val="clear" w:color="auto" w:fill="auto"/>
        </w:rPr>
        <w:t>“领头雁”作用，做大做强永田食用菌、合曼农业、腊月二十六、秦绿木耳、盛华茶叶、雪樱花魔芋、金亨祥粮油、百盛缫丝等涉农企业，健全集生产、加工、销售于一体的经营模式，不断延长农业产业链条。持续抓好大坪、回龙、云镇现代农业园区建设，全力建设一批集产品生产、休闲观光、采摘体验、市场营销于一体的全产业链产业现代农业示范园区。依托板栗、核桃、食用菌等特色产业优势，拓展农业观光、休闲康养、耕种体验、乡村旅居等功能，打造田园综合体，实现农工、农旅深度融合。</w:t>
      </w:r>
    </w:p>
    <w:p w14:paraId="77DBDACD">
      <w:pPr>
        <w:pStyle w:val="29"/>
        <w:spacing w:before="156" w:after="156"/>
        <w:ind w:firstLine="643"/>
        <w:rPr>
          <w:shd w:val="clear" w:color="auto" w:fill="auto"/>
        </w:rPr>
      </w:pPr>
      <w:r>
        <w:rPr>
          <w:rFonts w:hint="eastAsia"/>
          <w:shd w:val="clear" w:color="auto" w:fill="auto"/>
        </w:rPr>
        <w:t>（三）实施品牌培育工程</w:t>
      </w:r>
    </w:p>
    <w:p w14:paraId="4865E821">
      <w:pPr>
        <w:pStyle w:val="22"/>
        <w:ind w:firstLine="640"/>
        <w:rPr>
          <w:shd w:val="clear" w:color="auto" w:fill="auto"/>
        </w:rPr>
      </w:pPr>
      <w:r>
        <w:rPr>
          <w:rFonts w:hint="eastAsia"/>
          <w:shd w:val="clear" w:color="auto" w:fill="auto"/>
        </w:rPr>
        <w:t>加大产业品牌培育力度，引导农业企业做好“二品一标”认证、商标注册和名特优农产品名录申报工作，不断提升品牌知名度和竞争力。着力建设集区域公共品牌、产品品牌和企业品牌为一体的农产品品牌体系，大力培育板栗、核桃、茶叶、食用菌等国家品牌，创响一批“土字号</w:t>
      </w:r>
      <w:r>
        <w:rPr>
          <w:rFonts w:hint="eastAsia"/>
          <w:shd w:val="clear" w:color="auto" w:fill="auto"/>
          <w:lang w:eastAsia="zh-CN"/>
        </w:rPr>
        <w:t>”“</w:t>
      </w:r>
      <w:r>
        <w:rPr>
          <w:rFonts w:hint="eastAsia"/>
          <w:shd w:val="clear" w:color="auto" w:fill="auto"/>
        </w:rPr>
        <w:t>乡字号”品牌。鼓励企业在主销区建立形象店、品牌店、直营店，建设一批省级、市级特色农产品网络展销馆。</w:t>
      </w:r>
    </w:p>
    <w:p w14:paraId="19A13C25">
      <w:pPr>
        <w:pStyle w:val="22"/>
        <w:ind w:firstLine="643"/>
        <w:rPr>
          <w:b/>
          <w:shd w:val="clear" w:color="auto" w:fill="auto"/>
        </w:rPr>
      </w:pPr>
      <w:r>
        <w:rPr>
          <w:rFonts w:hint="eastAsia"/>
          <w:b/>
          <w:shd w:val="clear" w:color="auto" w:fill="auto"/>
        </w:rPr>
        <w:t>牵头单位：县农业农村局；配合单位：县发改局、县经贸局、县文旅局、县林业局、各镇办</w:t>
      </w:r>
    </w:p>
    <w:p w14:paraId="3CF4BD10">
      <w:pPr>
        <w:pStyle w:val="32"/>
        <w:spacing w:before="156" w:after="156"/>
        <w:ind w:firstLine="640"/>
        <w:rPr>
          <w:shd w:val="clear" w:color="auto" w:fill="auto"/>
        </w:rPr>
      </w:pPr>
      <w:bookmarkStart w:id="51" w:name="_Toc59298969"/>
      <w:r>
        <w:rPr>
          <w:rFonts w:hint="eastAsia"/>
          <w:shd w:val="clear" w:color="auto" w:fill="auto"/>
        </w:rPr>
        <w:t>三、创新发展新型材料产业</w:t>
      </w:r>
      <w:bookmarkEnd w:id="51"/>
    </w:p>
    <w:p w14:paraId="1405D194">
      <w:pPr>
        <w:pStyle w:val="29"/>
        <w:spacing w:before="156" w:after="156"/>
        <w:ind w:firstLine="643"/>
        <w:rPr>
          <w:shd w:val="clear" w:color="auto" w:fill="auto"/>
        </w:rPr>
      </w:pPr>
      <w:r>
        <w:rPr>
          <w:rFonts w:hint="eastAsia"/>
          <w:shd w:val="clear" w:color="auto" w:fill="auto"/>
        </w:rPr>
        <w:t>（一）着力打造产业集群</w:t>
      </w:r>
    </w:p>
    <w:p w14:paraId="28846C1C">
      <w:pPr>
        <w:pStyle w:val="22"/>
        <w:ind w:firstLine="640"/>
      </w:pPr>
      <w:r>
        <w:rPr>
          <w:rFonts w:hint="eastAsia"/>
        </w:rPr>
        <w:t>以月河钼钨产业园建设为依托，开发利用木王、月河、青铜关、云盖寺镇等地钨、钼、钒、铅、锌等资源，打造有色金属产业集群。以冷水河石材产业园、石门高端石材产业园、柴坪石槽沟高端大理石产业园建设为依托，整合木王、月河、米粮、西口、柴坪石槽沟等地大理石、花岗岩资源，以尧柏石灰石综合利用产业园建设为依托，整合县域石灰石资源，规模化生产高效节能、绿色环保的新型建材，打造现代建材产业集群。以米粮黄金产业园、月河黄金产业园建设为依托，做活高峰、米粮、回龙、月河等黄金矿产资源，打造贵金属材料产业集群。</w:t>
      </w:r>
    </w:p>
    <w:p w14:paraId="709F5262">
      <w:pPr>
        <w:pStyle w:val="29"/>
        <w:spacing w:before="156" w:after="156"/>
        <w:ind w:firstLine="643"/>
        <w:rPr>
          <w:shd w:val="clear" w:color="auto" w:fill="auto"/>
        </w:rPr>
      </w:pPr>
      <w:r>
        <w:rPr>
          <w:rFonts w:hint="eastAsia"/>
          <w:shd w:val="clear" w:color="auto" w:fill="auto"/>
        </w:rPr>
        <w:t>（二）促进产业融合发展</w:t>
      </w:r>
    </w:p>
    <w:p w14:paraId="2B287C81">
      <w:pPr>
        <w:pStyle w:val="22"/>
        <w:ind w:firstLine="640"/>
        <w:rPr>
          <w:shd w:val="clear" w:color="auto" w:fill="auto"/>
        </w:rPr>
      </w:pPr>
      <w:r>
        <w:rPr>
          <w:rFonts w:hint="eastAsia"/>
          <w:shd w:val="clear" w:color="auto" w:fill="auto"/>
        </w:rPr>
        <w:t>建立以优势企业为龙头，联合产业链上下游核心企业的产业联盟，基本形成互联互通、资源共享、服务协同的服务平台网络。推进新型材料产业与物流、科技、金融服务业的融合发展，完善与工业相配套的物流体系与供应链管理体系建设，搭建产品研发中心、工程技术中心等技术服务平台，推广工业大数据、云计算、人工智能等应用技术，提高科技成果转化率，推动产品线上线下展示平台、销售渠道以及品牌建设。大力发展新型材料研发设计服务，培育第三方研发机构，加强产学研联合开发，坚持走“低消耗、低污染、高科技、高效益”的循环发展之路。</w:t>
      </w:r>
    </w:p>
    <w:p w14:paraId="65720144">
      <w:pPr>
        <w:pStyle w:val="22"/>
        <w:ind w:firstLine="643"/>
        <w:rPr>
          <w:b/>
          <w:shd w:val="clear" w:color="auto" w:fill="auto"/>
        </w:rPr>
      </w:pPr>
      <w:r>
        <w:rPr>
          <w:b/>
          <w:shd w:val="clear" w:color="auto" w:fill="auto"/>
        </w:rPr>
        <w:t>牵头单位</w:t>
      </w:r>
      <w:r>
        <w:rPr>
          <w:rFonts w:hint="eastAsia"/>
          <w:b/>
          <w:shd w:val="clear" w:color="auto" w:fill="auto"/>
        </w:rPr>
        <w:t>：县经贸局；配合单位：县发改局、县科教局、工业集中区管委会</w:t>
      </w:r>
    </w:p>
    <w:p w14:paraId="30875AE0">
      <w:pPr>
        <w:pStyle w:val="32"/>
        <w:spacing w:before="156" w:after="156"/>
        <w:ind w:firstLine="640"/>
        <w:rPr>
          <w:shd w:val="clear" w:color="auto" w:fill="auto"/>
        </w:rPr>
      </w:pPr>
      <w:bookmarkStart w:id="52" w:name="_Toc59298970"/>
      <w:r>
        <w:rPr>
          <w:rFonts w:hint="eastAsia"/>
          <w:shd w:val="clear" w:color="auto" w:fill="auto"/>
        </w:rPr>
        <w:t>四、</w:t>
      </w:r>
      <w:r>
        <w:rPr>
          <w:shd w:val="clear" w:color="auto" w:fill="auto"/>
        </w:rPr>
        <w:t>深入推进全域旅游发展</w:t>
      </w:r>
      <w:bookmarkEnd w:id="52"/>
    </w:p>
    <w:p w14:paraId="53B60B75">
      <w:pPr>
        <w:pStyle w:val="29"/>
        <w:spacing w:before="156" w:after="156"/>
        <w:ind w:firstLine="643"/>
        <w:rPr>
          <w:shd w:val="clear" w:color="auto" w:fill="auto"/>
        </w:rPr>
      </w:pPr>
      <w:r>
        <w:rPr>
          <w:rFonts w:hint="eastAsia"/>
          <w:shd w:val="clear" w:color="auto" w:fill="auto"/>
        </w:rPr>
        <w:t>（一）完善景区景点建设</w:t>
      </w:r>
    </w:p>
    <w:p w14:paraId="09E2574E">
      <w:pPr>
        <w:pStyle w:val="22"/>
        <w:ind w:firstLine="640"/>
        <w:rPr>
          <w:shd w:val="clear" w:color="auto" w:fill="auto"/>
        </w:rPr>
      </w:pPr>
      <w:r>
        <w:rPr>
          <w:shd w:val="clear" w:color="auto" w:fill="auto"/>
        </w:rPr>
        <w:t>按照</w:t>
      </w:r>
      <w:r>
        <w:rPr>
          <w:rFonts w:hint="eastAsia"/>
          <w:shd w:val="clear" w:color="auto" w:fill="auto"/>
        </w:rPr>
        <w:t>“创建一批、提升一批、储备一批”的原则，深入推进“全域旅游示范县”建设。进一步提升金台山、木王山、塔云山、云盖寺古镇、磨石沟等重点景区建设和经营水平，完善旅游配套功能。加快推进小城镇安·旅居康养民宿集群、侏罗纪欢乐世界、云盖寺旅游基础设施、鄂豫陕红色政权教育基地、月河抽水蓄能风景区、北阳山喀斯特地质运动公园等项目建设，大力发展沟峪经济、民宿经济。</w:t>
      </w:r>
    </w:p>
    <w:p w14:paraId="4B3C0FF8">
      <w:pPr>
        <w:pStyle w:val="29"/>
        <w:spacing w:before="156" w:after="156"/>
        <w:ind w:firstLine="643"/>
        <w:rPr>
          <w:shd w:val="clear" w:color="auto" w:fill="auto"/>
        </w:rPr>
      </w:pPr>
      <w:r>
        <w:rPr>
          <w:rFonts w:hint="eastAsia"/>
          <w:shd w:val="clear" w:color="auto" w:fill="auto"/>
        </w:rPr>
        <w:t>（三）不断拓展服务功能</w:t>
      </w:r>
    </w:p>
    <w:p w14:paraId="102763E4">
      <w:pPr>
        <w:pStyle w:val="22"/>
        <w:ind w:firstLine="640"/>
        <w:rPr>
          <w:shd w:val="clear" w:color="auto" w:fill="auto"/>
        </w:rPr>
      </w:pPr>
      <w:r>
        <w:rPr>
          <w:rFonts w:hint="eastAsia"/>
          <w:shd w:val="clear" w:color="auto" w:fill="auto"/>
        </w:rPr>
        <w:t>加快县游客服务中心、高速和高铁两个游客集散中心建设，推进旅游环线接待点、旅游美食街区、非遗观赏体验街区建设，带动旅游经济增长。紧抓新基建、5G网络发展机遇，大力发展“互联网+旅游”，建立智慧旅游系统，实现景区WIFI全覆盖，推广“云旅游”，提升旅游信息化服务水平，提高综合接待能力。紧抓“中国秦岭生态文化旅游节”机遇，精心策划组织文化旅游主题系列推介活动，不断扩大“来安去安·小城镇安”旅游品牌影响力。</w:t>
      </w:r>
    </w:p>
    <w:p w14:paraId="7BDB492B">
      <w:pPr>
        <w:pStyle w:val="22"/>
        <w:ind w:firstLine="643"/>
        <w:rPr>
          <w:b/>
          <w:shd w:val="clear" w:color="auto" w:fill="auto"/>
        </w:rPr>
      </w:pPr>
      <w:r>
        <w:rPr>
          <w:rFonts w:hint="eastAsia"/>
          <w:b/>
          <w:shd w:val="clear" w:color="auto" w:fill="auto"/>
        </w:rPr>
        <w:t>牵头单位：县文旅局；配合单位：县发改局、县交通局</w:t>
      </w:r>
    </w:p>
    <w:p w14:paraId="6683F3DB">
      <w:pPr>
        <w:pStyle w:val="32"/>
        <w:spacing w:before="156" w:after="156"/>
        <w:ind w:firstLine="640"/>
        <w:rPr>
          <w:shd w:val="clear" w:color="auto" w:fill="auto"/>
        </w:rPr>
      </w:pPr>
      <w:bookmarkStart w:id="53" w:name="_Toc59298971"/>
      <w:r>
        <w:rPr>
          <w:rFonts w:hint="eastAsia"/>
          <w:shd w:val="clear" w:color="auto" w:fill="auto"/>
        </w:rPr>
        <w:t>五、着力培育医康养旅产业</w:t>
      </w:r>
      <w:bookmarkEnd w:id="53"/>
    </w:p>
    <w:p w14:paraId="6F2F1503">
      <w:pPr>
        <w:pStyle w:val="22"/>
        <w:ind w:firstLine="640"/>
        <w:rPr>
          <w:shd w:val="clear" w:color="auto" w:fill="auto"/>
        </w:rPr>
      </w:pPr>
      <w:r>
        <w:rPr>
          <w:rFonts w:hint="eastAsia"/>
          <w:shd w:val="clear" w:color="auto" w:fill="auto"/>
        </w:rPr>
        <w:t>紧抓“商洛·中国气候之都”建设机遇，</w:t>
      </w:r>
      <w:r>
        <w:rPr>
          <w:shd w:val="clear" w:color="auto" w:fill="auto"/>
        </w:rPr>
        <w:t>立足镇安丰富和独特的生态资源</w:t>
      </w:r>
      <w:r>
        <w:rPr>
          <w:rFonts w:hint="eastAsia"/>
          <w:shd w:val="clear" w:color="auto" w:fill="auto"/>
        </w:rPr>
        <w:t>，着力构建集中药材种植、绿色有机食品生产、中医药及保健品研发、健康养老、文化旅游等为一体的大健康产业发展体系。以中药材资源综合开发利用为核心，以瑞琪等企业为龙头，大力发展中药饮片加工、植物提取、药食同疗、中医药保健研发等，积极打造生物医药产业集群。依托镇安丰富的森林资源，促进养老与旅游、康复、养生等融合发展，建设集森林旅游、森林养生、康复疗养、医疗护理等于一体的旅居养老综合服务体系。依托西康高铁镇安西站及丹宁高速枣园出口建设等项目，发展一批中高端“医疗康复-休闲养生-旅游度假”综合体项目，创建一批医养结合示范基地。探索医联体发展新模式，加快妇女儿童医院、老年护理院建设，启动托育中心、医养中心、老年公寓建设。</w:t>
      </w:r>
    </w:p>
    <w:p w14:paraId="2F3E0CEE">
      <w:pPr>
        <w:pStyle w:val="22"/>
        <w:ind w:firstLine="643"/>
        <w:rPr>
          <w:b/>
          <w:shd w:val="clear" w:color="auto" w:fill="auto"/>
        </w:rPr>
      </w:pPr>
      <w:r>
        <w:rPr>
          <w:rFonts w:hint="eastAsia"/>
          <w:b/>
          <w:shd w:val="clear" w:color="auto" w:fill="auto"/>
        </w:rPr>
        <w:t>牵头单位：县发改局：配合单位：县文旅局、县经贸局、县农业农村局、县卫健局</w:t>
      </w:r>
    </w:p>
    <w:p w14:paraId="7C4608FA">
      <w:pPr>
        <w:pStyle w:val="32"/>
        <w:spacing w:before="156" w:after="156"/>
        <w:ind w:firstLine="640"/>
        <w:rPr>
          <w:shd w:val="clear" w:color="auto" w:fill="auto"/>
        </w:rPr>
      </w:pPr>
      <w:bookmarkStart w:id="54" w:name="_Toc59298972"/>
      <w:r>
        <w:rPr>
          <w:rFonts w:hint="eastAsia"/>
          <w:shd w:val="clear" w:color="auto" w:fill="auto"/>
        </w:rPr>
        <w:t>六、完善产业准入清单制度</w:t>
      </w:r>
      <w:bookmarkEnd w:id="54"/>
    </w:p>
    <w:p w14:paraId="2743DC7C">
      <w:pPr>
        <w:pStyle w:val="22"/>
        <w:ind w:firstLine="640"/>
        <w:rPr>
          <w:shd w:val="clear" w:color="auto" w:fill="auto"/>
        </w:rPr>
      </w:pPr>
      <w:r>
        <w:rPr>
          <w:rFonts w:hint="eastAsia"/>
          <w:shd w:val="clear" w:color="auto" w:fill="auto"/>
        </w:rPr>
        <w:t>在镇安县秦岭生态环境保护范围内，生产、生活和建设活动应当符合《条例》及省市秦岭规划要求，依法采取相应生态环境保护措施，保证秦岭生态功能不降低。严格落实重点保护区、一般保护区产业准入清单制度，鼓励绿色循环、节能环保、有机农业、生态旅游、健康养老等产业发展，加大高耗能、高排放重点行业落后产能淘汰力度，禁止高污染、高环境风险等行业进入，推进建立以生态产业化和产业生态化为主体的生态经济体系。</w:t>
      </w:r>
    </w:p>
    <w:p w14:paraId="0CC02A4D">
      <w:pPr>
        <w:pStyle w:val="22"/>
        <w:ind w:firstLine="640"/>
        <w:rPr>
          <w:shd w:val="clear" w:color="auto" w:fill="auto"/>
        </w:rPr>
      </w:pPr>
      <w:r>
        <w:rPr>
          <w:rFonts w:hint="eastAsia"/>
          <w:shd w:val="clear" w:color="auto" w:fill="auto"/>
        </w:rPr>
        <w:t>严格按照产业准入清单的要求，坚持“谁审批，谁负责，谁主管、谁监管”原则，加强秦岭区域项目管理，严格项目审批，严把准入关口，加强事中事后监管，对各类开发建设项目实行强制性、全过程监管。动态监控产业清单制度落实情况，科学分析各类产业发展行为对秦岭生态系统变化造成的影响，及时完善产业准入清单制度。</w:t>
      </w:r>
    </w:p>
    <w:p w14:paraId="7B82739D">
      <w:pPr>
        <w:pStyle w:val="22"/>
        <w:ind w:firstLine="643"/>
        <w:rPr>
          <w:b/>
          <w:shd w:val="clear" w:color="auto" w:fill="auto"/>
        </w:rPr>
      </w:pPr>
      <w:r>
        <w:rPr>
          <w:rFonts w:hint="eastAsia"/>
          <w:b/>
          <w:shd w:val="clear" w:color="auto" w:fill="auto"/>
        </w:rPr>
        <w:t>牵头单位：县发改局；配合单位：县农业农村局、县经贸局、县文旅局、县林业局、县水利局、县环境局、县资源局</w:t>
      </w:r>
    </w:p>
    <w:p w14:paraId="4F4D73E2">
      <w:pPr>
        <w:pStyle w:val="22"/>
        <w:ind w:firstLine="643"/>
        <w:rPr>
          <w:b/>
          <w:shd w:val="clear" w:color="auto" w:fill="auto"/>
        </w:rPr>
      </w:pPr>
    </w:p>
    <w:p w14:paraId="69638083">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569A4013">
      <w:pPr>
        <w:pStyle w:val="26"/>
        <w:spacing w:before="312" w:after="312"/>
        <w:rPr>
          <w:shd w:val="clear" w:color="auto" w:fill="auto"/>
        </w:rPr>
      </w:pPr>
      <w:bookmarkStart w:id="55" w:name="_Toc59298973"/>
      <w:r>
        <w:rPr>
          <w:shd w:val="clear" w:color="auto" w:fill="auto"/>
        </w:rPr>
        <w:t>第十一章</w:t>
      </w:r>
      <w:r>
        <w:rPr>
          <w:rFonts w:hint="eastAsia"/>
          <w:shd w:val="clear" w:color="auto" w:fill="auto"/>
        </w:rPr>
        <w:t xml:space="preserve"> </w:t>
      </w:r>
      <w:r>
        <w:rPr>
          <w:shd w:val="clear" w:color="auto" w:fill="auto"/>
        </w:rPr>
        <w:t xml:space="preserve"> </w:t>
      </w:r>
      <w:r>
        <w:rPr>
          <w:rFonts w:hint="eastAsia"/>
          <w:shd w:val="clear" w:color="auto" w:fill="auto"/>
        </w:rPr>
        <w:t>提升民生保障水平，打造美丽幸福新镇安</w:t>
      </w:r>
      <w:bookmarkEnd w:id="55"/>
    </w:p>
    <w:p w14:paraId="7699046C">
      <w:pPr>
        <w:pStyle w:val="22"/>
        <w:ind w:firstLine="640"/>
        <w:rPr>
          <w:shd w:val="clear" w:color="auto" w:fill="auto"/>
        </w:rPr>
      </w:pPr>
      <w:r>
        <w:rPr>
          <w:rFonts w:hint="eastAsia"/>
          <w:shd w:val="clear" w:color="auto" w:fill="auto"/>
        </w:rPr>
        <w:t>以秦岭生态环境保护为</w:t>
      </w:r>
      <w:r>
        <w:rPr>
          <w:shd w:val="clear" w:color="auto" w:fill="auto"/>
        </w:rPr>
        <w:t>前提</w:t>
      </w:r>
      <w:r>
        <w:rPr>
          <w:rFonts w:hint="eastAsia"/>
          <w:shd w:val="clear" w:color="auto" w:fill="auto"/>
        </w:rPr>
        <w:t>，将脱贫攻坚、乡村振兴、民生保障、城市建设与秦岭生态环境保护一体化推进，强化举措、狠抓落实，多措并举巩固脱贫攻坚成果，全面提升城乡公共服务水平，改善群众生产生活条件，切实提升城乡居民获得感、幸福感、安全感。</w:t>
      </w:r>
    </w:p>
    <w:p w14:paraId="674B962C">
      <w:pPr>
        <w:pStyle w:val="32"/>
        <w:spacing w:before="156" w:after="156"/>
        <w:ind w:firstLine="640"/>
        <w:rPr>
          <w:shd w:val="clear" w:color="auto" w:fill="auto"/>
        </w:rPr>
      </w:pPr>
      <w:bookmarkStart w:id="56" w:name="_Toc59298974"/>
      <w:r>
        <w:rPr>
          <w:rFonts w:hint="eastAsia"/>
          <w:shd w:val="clear" w:color="auto" w:fill="auto"/>
        </w:rPr>
        <w:t>一、巩固脱贫攻坚成果</w:t>
      </w:r>
      <w:bookmarkEnd w:id="56"/>
    </w:p>
    <w:p w14:paraId="64BD95F2">
      <w:pPr>
        <w:pStyle w:val="22"/>
        <w:ind w:firstLine="640"/>
      </w:pPr>
      <w:r>
        <w:rPr>
          <w:rFonts w:hint="eastAsia"/>
        </w:rPr>
        <w:t>严格落实“四个不摘”要求，保持现有帮扶政策、资金支持、帮扶力量总体稳定。以脱贫不稳定户、边缘易致贫户以及因疫情、灾情、大病、突发事故等其他原因导致收入骤减或支出骤增户为重点，提高防范化解重大风险和精准扶贫脱贫能力水平，加强收入变化和“两不愁三保障”巩固情况监测，定期核查，及时发现，及时帮扶，动态清零，确保脱贫人口不返贫、不产生新的贫困人口。因地制宜发展烤烟、蚕桑、食用菌、茶叶四大主导产业，积极发展板栗、核桃、中药材、畜牧养殖等传统产业，积极创新消费扶贫方式，着力搭建产销平台，拓宽增收渠道，促进扶贫产业发展。做好脱贫人口稳岗就业，加大对脱贫人口职业技能培训力度，拓展农户就业渠道，切实保障脱贫户收入持续稳定增长。强化易地搬迁后续扶持，完善集中安置区公共服务和配套基础设施，因地制宜在搬迁地发展产业，确保搬迁群众稳得住、有就业、逐步能致富。加强资金资产项目管理，建立健全扶贫资产管理制度，持续发挥效益。兜住民生底线，以现有社会保障体系为依托，完善医疗救助、大病保险、农村养老、农村低保等制度，保障困难群众基本生活。</w:t>
      </w:r>
    </w:p>
    <w:p w14:paraId="3F0280AE">
      <w:pPr>
        <w:pStyle w:val="22"/>
        <w:ind w:firstLine="643"/>
        <w:rPr>
          <w:b/>
          <w:shd w:val="clear" w:color="auto" w:fill="auto"/>
        </w:rPr>
      </w:pPr>
      <w:r>
        <w:rPr>
          <w:rFonts w:hint="eastAsia"/>
          <w:b/>
          <w:shd w:val="clear" w:color="auto" w:fill="auto"/>
        </w:rPr>
        <w:t>牵头单位：县扶贫局；配合单位：县发改局、县文旅局、县资源局、县农业农村局、县林业局、县水利局、县环境局、县财政局、县住建局、县人社局、县卫健局、县民政局、县科教局、县医保局、县移民办、各镇办</w:t>
      </w:r>
    </w:p>
    <w:p w14:paraId="0F15EFFE">
      <w:pPr>
        <w:pStyle w:val="32"/>
        <w:spacing w:before="156" w:after="156"/>
        <w:ind w:firstLine="640"/>
        <w:rPr>
          <w:shd w:val="clear" w:color="auto" w:fill="auto"/>
        </w:rPr>
      </w:pPr>
      <w:bookmarkStart w:id="57" w:name="_Toc59298975"/>
      <w:r>
        <w:rPr>
          <w:rFonts w:hint="eastAsia"/>
          <w:shd w:val="clear" w:color="auto" w:fill="auto"/>
        </w:rPr>
        <w:t>二、实施乡村振兴战略</w:t>
      </w:r>
      <w:bookmarkEnd w:id="57"/>
    </w:p>
    <w:p w14:paraId="355A7990">
      <w:pPr>
        <w:pStyle w:val="22"/>
        <w:ind w:firstLine="640"/>
        <w:rPr>
          <w:shd w:val="clear" w:color="auto" w:fill="auto"/>
        </w:rPr>
      </w:pPr>
      <w:r>
        <w:rPr>
          <w:rFonts w:hint="eastAsia"/>
          <w:shd w:val="clear" w:color="auto" w:fill="auto"/>
        </w:rPr>
        <w:t>按照“产业兴旺、生态宜居、乡风文明、治理有效、生活富裕”总体要求，做好脱贫攻坚与乡村振兴有效衔接，全面推进实施乡村振兴战略，促进农业强农村美农民富。</w:t>
      </w:r>
      <w:r>
        <w:rPr>
          <w:rFonts w:hint="eastAsia"/>
          <w:b/>
          <w:shd w:val="clear" w:color="auto" w:fill="auto"/>
        </w:rPr>
        <w:t>产业兴旺，</w:t>
      </w:r>
      <w:r>
        <w:rPr>
          <w:rFonts w:hint="eastAsia"/>
          <w:shd w:val="clear" w:color="auto" w:fill="auto"/>
        </w:rPr>
        <w:t>围绕发展壮大“4+X”高山农产产业体系，实施农业创新，推动产业扩规延链，大力培育循环农业、休闲农业、观光农业及体验农业，形成助农增收的产业发展新格局。</w:t>
      </w:r>
      <w:r>
        <w:rPr>
          <w:rFonts w:hint="eastAsia"/>
          <w:b/>
          <w:shd w:val="clear" w:color="auto" w:fill="auto"/>
        </w:rPr>
        <w:t>生态宜居，</w:t>
      </w:r>
      <w:r>
        <w:rPr>
          <w:rFonts w:hint="eastAsia"/>
          <w:shd w:val="clear" w:color="auto" w:fill="auto"/>
        </w:rPr>
        <w:t>充分挖掘县域历史文化、古旧宅院、民俗风情、产业特色、农事节庆和自然生态等资源，全面开展农村人居环境整治，培育建设一批“一村一景</w:t>
      </w:r>
      <w:r>
        <w:rPr>
          <w:rFonts w:hint="eastAsia"/>
          <w:shd w:val="clear" w:color="auto" w:fill="auto"/>
          <w:lang w:eastAsia="zh-CN"/>
        </w:rPr>
        <w:t>”“</w:t>
      </w:r>
      <w:r>
        <w:rPr>
          <w:rFonts w:hint="eastAsia"/>
          <w:shd w:val="clear" w:color="auto" w:fill="auto"/>
        </w:rPr>
        <w:t>一村一韵”美丽乡村，着力打造一批乡村振兴示范村。</w:t>
      </w:r>
      <w:r>
        <w:rPr>
          <w:rFonts w:hint="eastAsia"/>
          <w:b/>
          <w:shd w:val="clear" w:color="auto" w:fill="auto"/>
        </w:rPr>
        <w:t>乡风文明，</w:t>
      </w:r>
      <w:r>
        <w:rPr>
          <w:rFonts w:hint="eastAsia"/>
          <w:shd w:val="clear" w:color="auto" w:fill="auto"/>
        </w:rPr>
        <w:t>大力实施“立德、尚德、遵德、载德、润德、弘德”六德工程，消除陈规陋习，制定和完善村规民约，引导农村社会风气良好发展；坚持传承保护发展乡村优秀农耕文明，抓好“镇安渔鼓</w:t>
      </w:r>
      <w:r>
        <w:rPr>
          <w:rFonts w:hint="eastAsia"/>
          <w:shd w:val="clear" w:color="auto" w:fill="auto"/>
          <w:lang w:eastAsia="zh-CN"/>
        </w:rPr>
        <w:t>”“</w:t>
      </w:r>
      <w:r>
        <w:rPr>
          <w:rFonts w:hint="eastAsia"/>
          <w:shd w:val="clear" w:color="auto" w:fill="auto"/>
        </w:rPr>
        <w:t>商洛花鼓”等非物质文化遗产的保护和开发，守护好镇安独特的文化标识。</w:t>
      </w:r>
      <w:r>
        <w:rPr>
          <w:rFonts w:hint="eastAsia"/>
          <w:b/>
          <w:shd w:val="clear" w:color="auto" w:fill="auto"/>
        </w:rPr>
        <w:t>治理有效，</w:t>
      </w:r>
      <w:r>
        <w:rPr>
          <w:rFonts w:hint="eastAsia"/>
          <w:shd w:val="clear" w:color="auto" w:fill="auto"/>
        </w:rPr>
        <w:t>建立健全党委领导、政府负责、社会协同、公众参与、法治保障的现代乡村社会治理体制，确保镇安乡村治理实现行为有规范、管理有规章、道德有引领、困难有组织“四有”新面貌。</w:t>
      </w:r>
      <w:r>
        <w:rPr>
          <w:rFonts w:hint="eastAsia"/>
          <w:b/>
          <w:shd w:val="clear" w:color="auto" w:fill="auto"/>
        </w:rPr>
        <w:t>生活富裕，</w:t>
      </w:r>
      <w:r>
        <w:rPr>
          <w:rFonts w:hint="eastAsia"/>
          <w:shd w:val="clear" w:color="auto" w:fill="auto"/>
        </w:rPr>
        <w:t>大力支持农民工等群体返乡创业，加快发展家庭经营性产业，大力推广“社区+工厂</w:t>
      </w:r>
      <w:r>
        <w:rPr>
          <w:rFonts w:hint="eastAsia"/>
          <w:shd w:val="clear" w:color="auto" w:fill="auto"/>
          <w:lang w:eastAsia="zh-CN"/>
        </w:rPr>
        <w:t>”“</w:t>
      </w:r>
      <w:r>
        <w:rPr>
          <w:rFonts w:hint="eastAsia"/>
          <w:shd w:val="clear" w:color="auto" w:fill="auto"/>
        </w:rPr>
        <w:t>社区+景区</w:t>
      </w:r>
      <w:r>
        <w:rPr>
          <w:rFonts w:hint="eastAsia"/>
          <w:shd w:val="clear" w:color="auto" w:fill="auto"/>
          <w:lang w:eastAsia="zh-CN"/>
        </w:rPr>
        <w:t>”“</w:t>
      </w:r>
      <w:r>
        <w:rPr>
          <w:rFonts w:hint="eastAsia"/>
          <w:shd w:val="clear" w:color="auto" w:fill="auto"/>
        </w:rPr>
        <w:t>社区+园区”等就业模式。</w:t>
      </w:r>
    </w:p>
    <w:p w14:paraId="371641EA">
      <w:pPr>
        <w:pStyle w:val="22"/>
        <w:ind w:firstLine="643"/>
        <w:rPr>
          <w:b/>
          <w:shd w:val="clear" w:color="auto" w:fill="auto"/>
        </w:rPr>
      </w:pPr>
      <w:r>
        <w:rPr>
          <w:rFonts w:hint="eastAsia"/>
          <w:b/>
          <w:shd w:val="clear" w:color="auto" w:fill="auto"/>
        </w:rPr>
        <w:t>牵头单位：县农业农村局；配合单位：县发改局、县文旅局、县林业局、县水利局、县环境局、县经贸局、县财政局、县住建局、县人社局、县卫健局、县司法局、县科教局、各镇办</w:t>
      </w:r>
    </w:p>
    <w:p w14:paraId="55248A01">
      <w:pPr>
        <w:pStyle w:val="32"/>
        <w:spacing w:before="156" w:after="156"/>
        <w:ind w:firstLine="640"/>
        <w:rPr>
          <w:shd w:val="clear" w:color="auto" w:fill="auto"/>
        </w:rPr>
      </w:pPr>
      <w:bookmarkStart w:id="58" w:name="_Toc59298976"/>
      <w:r>
        <w:rPr>
          <w:rFonts w:hint="eastAsia"/>
          <w:shd w:val="clear" w:color="auto" w:fill="auto"/>
        </w:rPr>
        <w:t>三、推进公共服务发展</w:t>
      </w:r>
      <w:bookmarkEnd w:id="58"/>
    </w:p>
    <w:p w14:paraId="060F0046">
      <w:pPr>
        <w:pStyle w:val="22"/>
        <w:ind w:firstLine="643"/>
        <w:rPr>
          <w:shd w:val="clear" w:color="auto" w:fill="auto"/>
        </w:rPr>
      </w:pPr>
      <w:r>
        <w:rPr>
          <w:rFonts w:hint="eastAsia"/>
          <w:b/>
          <w:shd w:val="clear" w:color="auto" w:fill="auto"/>
        </w:rPr>
        <w:t>建设高质量教育体系，</w:t>
      </w:r>
      <w:r>
        <w:rPr>
          <w:rFonts w:hint="eastAsia"/>
          <w:shd w:val="clear" w:color="auto" w:fill="auto"/>
        </w:rPr>
        <w:t>统筹推进国家义务教育优质均衡县创建，加快学前教育普惠发展，实施城乡中小学改造提升工程，科学整合布局城区教育资源，彻底消除城区学校大班额现象；加强文化基础设施建设，完善公共文化服务网络，构建覆盖城乡、结构合理、功能健全、实用高效的公共文化服务体系。</w:t>
      </w:r>
      <w:r>
        <w:rPr>
          <w:rFonts w:hint="eastAsia"/>
          <w:b/>
          <w:shd w:val="clear" w:color="auto" w:fill="auto"/>
        </w:rPr>
        <w:t>提升医疗服务能力，</w:t>
      </w:r>
      <w:r>
        <w:rPr>
          <w:rFonts w:hint="eastAsia"/>
          <w:shd w:val="clear" w:color="auto" w:fill="auto"/>
        </w:rPr>
        <w:t>建立和完善分级医疗服务体系，形成基层首诊、双向转诊、急慢分治的就医秩序，抓好县域医共体建设，开展紧密型县域医疗卫生共同体建设试点工作；加强公共卫生体系建设，完善疾病预防控制、妇幼保健、精神疾病等公共卫生服务网络；完善突发公共卫生事件</w:t>
      </w:r>
      <w:r>
        <w:rPr>
          <w:rFonts w:hint="eastAsia"/>
          <w:color w:val="0000FF"/>
          <w:shd w:val="clear" w:color="auto" w:fill="auto"/>
          <w:lang w:val="en-US" w:eastAsia="zh-CN"/>
        </w:rPr>
        <w:t>监测</w:t>
      </w:r>
      <w:r>
        <w:rPr>
          <w:rFonts w:hint="eastAsia"/>
          <w:color w:val="0000FF"/>
          <w:shd w:val="clear" w:color="auto" w:fill="auto"/>
        </w:rPr>
        <w:t>预警处置机制</w:t>
      </w:r>
      <w:r>
        <w:rPr>
          <w:rFonts w:hint="eastAsia"/>
          <w:shd w:val="clear" w:color="auto" w:fill="auto"/>
        </w:rPr>
        <w:t>，强化疾控机构与城乡社区工作联动。</w:t>
      </w:r>
      <w:r>
        <w:rPr>
          <w:rFonts w:hint="eastAsia"/>
          <w:b/>
          <w:shd w:val="clear" w:color="auto" w:fill="auto"/>
        </w:rPr>
        <w:t>健全社会保障体系，</w:t>
      </w:r>
      <w:r>
        <w:rPr>
          <w:rFonts w:hint="eastAsia"/>
          <w:shd w:val="clear" w:color="auto" w:fill="auto"/>
        </w:rPr>
        <w:t>以基本养老、医疗、最低生活保障制度为重点，加快建立覆盖城乡、统一开放、相互衔接的社会保障体系；发展农村互助养老服务，创新多元化照料服务模式，建立健全以居家养老为基础、社区养老为依托、机构养老为补充、医养相结合的城乡养老服务体系。</w:t>
      </w:r>
      <w:r>
        <w:rPr>
          <w:rFonts w:hint="eastAsia"/>
          <w:b/>
          <w:shd w:val="clear" w:color="auto" w:fill="auto"/>
        </w:rPr>
        <w:t>完善平安</w:t>
      </w:r>
      <w:r>
        <w:rPr>
          <w:rFonts w:hint="eastAsia"/>
          <w:b/>
          <w:shd w:val="clear" w:color="auto" w:fill="auto"/>
          <w:lang w:eastAsia="zh-CN"/>
        </w:rPr>
        <w:t>法治建设</w:t>
      </w:r>
      <w:r>
        <w:rPr>
          <w:rFonts w:hint="eastAsia"/>
          <w:b/>
          <w:shd w:val="clear" w:color="auto" w:fill="auto"/>
        </w:rPr>
        <w:t>，</w:t>
      </w:r>
      <w:r>
        <w:rPr>
          <w:rFonts w:hint="eastAsia"/>
          <w:shd w:val="clear" w:color="auto" w:fill="auto"/>
        </w:rPr>
        <w:t>深入推进平安镇安建设，大力推进社会治安防控体系和“雪亮工程”建设，实现空中有监控、地面有巡逻、重点部位有技防的防控网络；深入开展法治宣传教育，形成人人学法守法的良好社会氛围。</w:t>
      </w:r>
    </w:p>
    <w:p w14:paraId="53F41CB8">
      <w:pPr>
        <w:pStyle w:val="22"/>
        <w:ind w:firstLine="643"/>
        <w:rPr>
          <w:b/>
          <w:shd w:val="clear" w:color="auto" w:fill="auto"/>
        </w:rPr>
      </w:pPr>
      <w:r>
        <w:rPr>
          <w:rFonts w:hint="eastAsia"/>
          <w:b/>
          <w:shd w:val="clear" w:color="auto" w:fill="auto"/>
        </w:rPr>
        <w:t>牵头单位：县发改局；配合单位：县科教局、县卫健局、县人社局、县医保局、县文旅局、县财政局</w:t>
      </w:r>
    </w:p>
    <w:p w14:paraId="2A98C5F0">
      <w:pPr>
        <w:pStyle w:val="32"/>
        <w:spacing w:before="156" w:after="156"/>
        <w:ind w:firstLine="640"/>
        <w:rPr>
          <w:shd w:val="clear" w:color="auto" w:fill="auto"/>
        </w:rPr>
      </w:pPr>
      <w:bookmarkStart w:id="59" w:name="_Toc59298977"/>
      <w:r>
        <w:rPr>
          <w:shd w:val="clear" w:color="auto" w:fill="auto"/>
        </w:rPr>
        <w:t>四</w:t>
      </w:r>
      <w:r>
        <w:rPr>
          <w:rFonts w:hint="eastAsia"/>
          <w:shd w:val="clear" w:color="auto" w:fill="auto"/>
        </w:rPr>
        <w:t>、打好污染防治攻坚战</w:t>
      </w:r>
      <w:bookmarkEnd w:id="59"/>
    </w:p>
    <w:p w14:paraId="41EE52BE">
      <w:pPr>
        <w:pStyle w:val="22"/>
        <w:ind w:firstLine="643"/>
        <w:rPr>
          <w:shd w:val="clear" w:color="auto" w:fill="auto"/>
        </w:rPr>
      </w:pPr>
      <w:r>
        <w:rPr>
          <w:b/>
          <w:shd w:val="clear" w:color="auto" w:fill="auto"/>
        </w:rPr>
        <w:t>打好蓝天保卫战</w:t>
      </w:r>
      <w:r>
        <w:rPr>
          <w:rFonts w:hint="eastAsia"/>
          <w:b/>
          <w:shd w:val="clear" w:color="auto" w:fill="auto"/>
        </w:rPr>
        <w:t>，</w:t>
      </w:r>
      <w:r>
        <w:rPr>
          <w:rFonts w:hint="eastAsia"/>
          <w:shd w:val="clear" w:color="auto" w:fill="auto"/>
        </w:rPr>
        <w:t>落实“减煤、控车、抑尘、治源、禁燃、增绿”六项措施，加强秸秆焚烧、建筑扬尘、餐饮油烟等源头治理，逐步建立健全大气污染源来源解析和污染源清单等工作的业务化机制。</w:t>
      </w:r>
      <w:r>
        <w:rPr>
          <w:rFonts w:hint="eastAsia"/>
          <w:b/>
          <w:shd w:val="clear" w:color="auto" w:fill="auto"/>
        </w:rPr>
        <w:t>打好碧水保卫战，</w:t>
      </w:r>
      <w:r>
        <w:rPr>
          <w:rFonts w:hint="eastAsia"/>
          <w:shd w:val="clear" w:color="auto" w:fill="auto"/>
        </w:rPr>
        <w:t>深化重点流域、饮用水源、黑臭水体、入河排污口、地下水污染、工业集聚区等治理，</w:t>
      </w:r>
      <w:r>
        <w:rPr>
          <w:shd w:val="clear" w:color="auto" w:fill="auto"/>
        </w:rPr>
        <w:t>实施城镇垃圾污水处理提质增效工程</w:t>
      </w:r>
      <w:r>
        <w:rPr>
          <w:rFonts w:hint="eastAsia"/>
          <w:shd w:val="clear" w:color="auto" w:fill="auto"/>
        </w:rPr>
        <w:t>，</w:t>
      </w:r>
      <w:r>
        <w:rPr>
          <w:shd w:val="clear" w:color="auto" w:fill="auto"/>
        </w:rPr>
        <w:t>加快推进全域垃圾污水处理PPP项目建设</w:t>
      </w:r>
      <w:r>
        <w:rPr>
          <w:rFonts w:hint="eastAsia"/>
          <w:shd w:val="clear" w:color="auto" w:fill="auto"/>
        </w:rPr>
        <w:t>，确保“一江清水供京津”。</w:t>
      </w:r>
      <w:r>
        <w:rPr>
          <w:rFonts w:hint="eastAsia"/>
          <w:b/>
          <w:shd w:val="clear" w:color="auto" w:fill="auto"/>
        </w:rPr>
        <w:t>打好净土保卫战，</w:t>
      </w:r>
      <w:r>
        <w:rPr>
          <w:rFonts w:hint="eastAsia"/>
          <w:shd w:val="clear" w:color="auto" w:fill="auto"/>
        </w:rPr>
        <w:t>加强土壤污染源头管控防治，开展土壤污染调查和治理修复，优先保护耕地和饮用水源地土壤环境；加强危险化学品行业环境安全排查和综合治理，实施医疗废物收集、转运、处理全过程监管。</w:t>
      </w:r>
      <w:r>
        <w:rPr>
          <w:rFonts w:hint="eastAsia"/>
          <w:b/>
          <w:shd w:val="clear" w:color="auto" w:fill="auto"/>
        </w:rPr>
        <w:t>打好青山保卫战，</w:t>
      </w:r>
      <w:r>
        <w:rPr>
          <w:rFonts w:hint="eastAsia"/>
          <w:shd w:val="clear" w:color="auto" w:fill="auto"/>
        </w:rPr>
        <w:t>持续巩固秦岭地区违规建筑和生态环境突出问题专项整治成效，扎实做好中省</w:t>
      </w:r>
      <w:r>
        <w:rPr>
          <w:rFonts w:hint="eastAsia"/>
          <w:shd w:val="clear" w:color="auto" w:fill="auto"/>
          <w:lang w:eastAsia="zh-CN"/>
        </w:rPr>
        <w:t>环保督察</w:t>
      </w:r>
      <w:r>
        <w:rPr>
          <w:rFonts w:hint="eastAsia"/>
          <w:shd w:val="clear" w:color="auto" w:fill="auto"/>
        </w:rPr>
        <w:t>反馈等问题整改，建立健全青山网格化、数字化、智能化生态环境监测评估体系。</w:t>
      </w:r>
    </w:p>
    <w:p w14:paraId="11A29AA9">
      <w:pPr>
        <w:pStyle w:val="22"/>
        <w:ind w:firstLine="643"/>
        <w:rPr>
          <w:b/>
          <w:shd w:val="clear" w:color="auto" w:fill="auto"/>
        </w:rPr>
      </w:pPr>
      <w:r>
        <w:rPr>
          <w:rFonts w:hint="eastAsia"/>
          <w:b/>
          <w:shd w:val="clear" w:color="auto" w:fill="auto"/>
        </w:rPr>
        <w:t>牵头单位：县环境局；配合单位：县发改局、县水利局、县林业局、县资源局、县经贸局、县住建局、县城管局、县农业农村局、县文旅局、工业集中区管委会</w:t>
      </w:r>
    </w:p>
    <w:p w14:paraId="6EE91298">
      <w:pPr>
        <w:pStyle w:val="32"/>
        <w:spacing w:before="156" w:after="156"/>
        <w:ind w:firstLine="640"/>
        <w:rPr>
          <w:shd w:val="clear" w:color="auto" w:fill="auto"/>
        </w:rPr>
      </w:pPr>
      <w:bookmarkStart w:id="60" w:name="_Toc59298978"/>
      <w:r>
        <w:rPr>
          <w:rFonts w:hint="eastAsia"/>
          <w:shd w:val="clear" w:color="auto" w:fill="auto"/>
        </w:rPr>
        <w:t>五、提升城市建设品质</w:t>
      </w:r>
      <w:bookmarkEnd w:id="60"/>
    </w:p>
    <w:p w14:paraId="7E7B4DAC">
      <w:pPr>
        <w:pStyle w:val="29"/>
        <w:spacing w:before="156" w:after="156"/>
        <w:ind w:firstLine="643"/>
        <w:rPr>
          <w:shd w:val="clear" w:color="auto" w:fill="auto"/>
        </w:rPr>
      </w:pPr>
      <w:r>
        <w:rPr>
          <w:rFonts w:hint="eastAsia"/>
          <w:shd w:val="clear" w:color="auto" w:fill="auto"/>
        </w:rPr>
        <w:t>（一）实施县城景区化战略</w:t>
      </w:r>
    </w:p>
    <w:p w14:paraId="5B5FB472">
      <w:pPr>
        <w:pStyle w:val="22"/>
        <w:ind w:firstLine="640"/>
        <w:rPr>
          <w:shd w:val="clear" w:color="auto" w:fill="auto"/>
        </w:rPr>
      </w:pPr>
      <w:r>
        <w:rPr>
          <w:shd w:val="clear" w:color="auto" w:fill="auto"/>
        </w:rPr>
        <w:t>坚持</w:t>
      </w:r>
      <w:r>
        <w:rPr>
          <w:rFonts w:hint="eastAsia"/>
          <w:shd w:val="clear" w:color="auto" w:fill="auto"/>
        </w:rPr>
        <w:t>“把城区当景区建，把建筑当景点建”，推动城市品位大提升。以生态绿地、山体公园、滨河公园和金沙河、乾佑河水体的廊道绿化作为景观设计主要元素，构建城市景观生态环境。加强口袋公园和小微绿地建设，因地制宜把散落在县城内各个角落的失管绿地、荒地、腾退地等改造为景致宜人的小微游园。完善城市标识体系，建设一批“传统文化+现代潮流”的跨界商业街，增加县城重要节点的景观小品设置，着力构建“景在城中、城景一体”的城市景观风貌。</w:t>
      </w:r>
    </w:p>
    <w:p w14:paraId="5BD48A7E">
      <w:pPr>
        <w:pStyle w:val="29"/>
        <w:spacing w:before="156" w:after="156"/>
        <w:ind w:firstLine="643"/>
        <w:rPr>
          <w:shd w:val="clear" w:color="auto" w:fill="auto"/>
        </w:rPr>
      </w:pPr>
      <w:r>
        <w:rPr>
          <w:rFonts w:hint="eastAsia"/>
          <w:shd w:val="clear" w:color="auto" w:fill="auto"/>
        </w:rPr>
        <w:t>（二）深化城市精细化管理</w:t>
      </w:r>
    </w:p>
    <w:p w14:paraId="03D1EA64">
      <w:pPr>
        <w:pStyle w:val="22"/>
        <w:ind w:firstLine="640"/>
        <w:rPr>
          <w:shd w:val="clear" w:color="auto" w:fill="auto"/>
        </w:rPr>
      </w:pPr>
      <w:r>
        <w:rPr>
          <w:rFonts w:hint="eastAsia"/>
          <w:shd w:val="clear" w:color="auto" w:fill="auto"/>
        </w:rPr>
        <w:t>加强对城区、城市规划区、各镇办所辖集镇市场等重点区域的占道经营、乱停乱靠、乱丢乱扔、乱贴乱画、乱搭乱建等“脏、乱、差”问题进行全面整治，完善充电桩、公厕等便民服务设施。扎实开展老旧小区改造，不断改善群众居住条件和生活品质。大力推广垃圾分类超市、分类积分等模式，倡导与激励群众积极开展生活垃圾分类，稳步推动垃圾分类示范片区创建。启动实施“数字镇安”项目，规范运行智慧城管平台、智慧停车等项目，提升城市管理水平，推进公共服务体系智能化。</w:t>
      </w:r>
    </w:p>
    <w:p w14:paraId="2719BB9F">
      <w:pPr>
        <w:pStyle w:val="29"/>
        <w:spacing w:before="156" w:after="156"/>
        <w:ind w:firstLine="643"/>
        <w:rPr>
          <w:shd w:val="clear" w:color="auto" w:fill="auto"/>
        </w:rPr>
      </w:pPr>
      <w:r>
        <w:rPr>
          <w:rFonts w:hint="eastAsia"/>
          <w:shd w:val="clear" w:color="auto" w:fill="auto"/>
        </w:rPr>
        <w:t>（三）加快生活绿色化转变</w:t>
      </w:r>
    </w:p>
    <w:p w14:paraId="213F8C91">
      <w:pPr>
        <w:pStyle w:val="22"/>
        <w:ind w:firstLine="640"/>
        <w:rPr>
          <w:shd w:val="clear" w:color="auto" w:fill="auto"/>
        </w:rPr>
      </w:pPr>
      <w:r>
        <w:rPr>
          <w:rFonts w:hint="eastAsia"/>
          <w:shd w:val="clear" w:color="auto" w:fill="auto"/>
        </w:rPr>
        <w:t>加速慢行交通系统建设，沿生态河道、水系、城市公园、社区、绿地等公共开敞空间设置重要步行通道；沿西沟路、北城路、兴隆路向北城山林地和金台山景区腹地延展，形成主城区外围环形联系的自行车通道。开展节约型机关和绿色社区、绿色家庭、绿色学校、绿色商场、绿色建筑等创建行动，做好二小、云镇花园幼儿园和政务中心等市级公共机构示范单位创建工作，推广简约适度、绿色低碳、文明健康的生活理念、生活方式。</w:t>
      </w:r>
    </w:p>
    <w:p w14:paraId="16291B20">
      <w:pPr>
        <w:pStyle w:val="22"/>
        <w:ind w:firstLine="643"/>
        <w:rPr>
          <w:b/>
          <w:shd w:val="clear" w:color="auto" w:fill="auto"/>
        </w:rPr>
      </w:pPr>
      <w:r>
        <w:rPr>
          <w:rFonts w:hint="eastAsia"/>
          <w:b/>
          <w:shd w:val="clear" w:color="auto" w:fill="auto"/>
        </w:rPr>
        <w:t>牵头单位：县住建局、县城管局；配合单位：县发改局、县林业局、县水利局、县环境局</w:t>
      </w:r>
    </w:p>
    <w:p w14:paraId="6FB9B563">
      <w:pPr>
        <w:pStyle w:val="22"/>
        <w:ind w:firstLine="643"/>
        <w:rPr>
          <w:b/>
          <w:shd w:val="clear" w:color="auto" w:fill="auto"/>
        </w:rPr>
      </w:pPr>
    </w:p>
    <w:p w14:paraId="116DAF30">
      <w:pPr>
        <w:pStyle w:val="22"/>
        <w:ind w:firstLine="640"/>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37E68F37">
      <w:pPr>
        <w:pStyle w:val="26"/>
        <w:spacing w:before="312" w:after="312"/>
        <w:rPr>
          <w:shd w:val="clear" w:color="auto" w:fill="auto"/>
        </w:rPr>
      </w:pPr>
      <w:bookmarkStart w:id="61" w:name="_Toc59298979"/>
      <w:r>
        <w:rPr>
          <w:rFonts w:hint="eastAsia"/>
          <w:shd w:val="clear" w:color="auto" w:fill="auto"/>
        </w:rPr>
        <w:t xml:space="preserve">第十二章 </w:t>
      </w:r>
      <w:r>
        <w:rPr>
          <w:shd w:val="clear" w:color="auto" w:fill="auto"/>
        </w:rPr>
        <w:t xml:space="preserve"> 保障措施</w:t>
      </w:r>
      <w:bookmarkEnd w:id="61"/>
    </w:p>
    <w:p w14:paraId="23111576">
      <w:pPr>
        <w:pStyle w:val="32"/>
        <w:spacing w:before="156" w:after="156"/>
        <w:ind w:firstLine="640"/>
        <w:rPr>
          <w:shd w:val="clear" w:color="auto" w:fill="auto"/>
        </w:rPr>
      </w:pPr>
      <w:bookmarkStart w:id="62" w:name="_Toc59298980"/>
      <w:r>
        <w:rPr>
          <w:shd w:val="clear" w:color="auto" w:fill="auto"/>
        </w:rPr>
        <w:t>一</w:t>
      </w:r>
      <w:r>
        <w:rPr>
          <w:rFonts w:hint="eastAsia"/>
          <w:shd w:val="clear" w:color="auto" w:fill="auto"/>
        </w:rPr>
        <w:t>、</w:t>
      </w:r>
      <w:r>
        <w:rPr>
          <w:shd w:val="clear" w:color="auto" w:fill="auto"/>
        </w:rPr>
        <w:t>夯实保护职责</w:t>
      </w:r>
      <w:bookmarkEnd w:id="62"/>
    </w:p>
    <w:p w14:paraId="61711998">
      <w:pPr>
        <w:pStyle w:val="22"/>
        <w:ind w:firstLine="640"/>
        <w:rPr>
          <w:shd w:val="clear" w:color="auto" w:fill="auto"/>
        </w:rPr>
      </w:pPr>
      <w:r>
        <w:rPr>
          <w:rFonts w:hint="eastAsia"/>
          <w:shd w:val="clear" w:color="auto" w:fill="auto"/>
        </w:rPr>
        <w:t>坚持由县委书记为第一主任、县长为主任和相关县级领导为副主任的秦岭生态环境保护委员会的统一领导，将秦岭生态环境保护放在更加突出位置来抓，做到重要保护规划统筹部署、重大治理项目严格把关、关键发展环节系统协调、重点落实情况实时督察，切实保障相关任务高效率、高质量落地。县人民政府对全县秦岭生态环境保护工作负总责，镇政府、街道办事处要做好辖区内秦岭生态环境保护相关工作，县秦岭办作为秦岭生态环境保护委员会的办事机构，落实好全县秦岭生态环境保护的协调、指导、监督、检查等相关工作，县发改、科教、公安、民政、财政、资源、环境、住建、交通、水利、农业农村、文旅、应急、市场监督、林业、气象等相关部门应依法履行各自职责，共同做好秦岭生态环境保护工作。秦岭生态环境保护范围内的陕西鹰嘴石省级自然保护区、陕西木王国家森林公园、旬河重要湿地镇安段、镇安城区集中式饮用水水源地、黑窑沟国有林场、木王国有林场及省级文物保护单位等重点保护对象的管理机构，应按照其职责做好管理范围内的生态环境保护工作。</w:t>
      </w:r>
    </w:p>
    <w:p w14:paraId="4AEFD23B">
      <w:pPr>
        <w:pStyle w:val="32"/>
        <w:spacing w:before="156" w:after="156"/>
        <w:ind w:firstLine="640"/>
        <w:rPr>
          <w:shd w:val="clear" w:color="auto" w:fill="auto"/>
        </w:rPr>
      </w:pPr>
      <w:bookmarkStart w:id="63" w:name="_Toc59298981"/>
      <w:r>
        <w:rPr>
          <w:shd w:val="clear" w:color="auto" w:fill="auto"/>
        </w:rPr>
        <w:t>二</w:t>
      </w:r>
      <w:r>
        <w:rPr>
          <w:rFonts w:hint="eastAsia"/>
          <w:shd w:val="clear" w:color="auto" w:fill="auto"/>
        </w:rPr>
        <w:t>、</w:t>
      </w:r>
      <w:r>
        <w:rPr>
          <w:shd w:val="clear" w:color="auto" w:fill="auto"/>
        </w:rPr>
        <w:t>狠抓问题整改</w:t>
      </w:r>
      <w:bookmarkEnd w:id="63"/>
    </w:p>
    <w:p w14:paraId="6D60FE7E">
      <w:pPr>
        <w:pStyle w:val="22"/>
        <w:ind w:firstLine="640"/>
        <w:rPr>
          <w:shd w:val="clear" w:color="auto" w:fill="auto"/>
        </w:rPr>
      </w:pPr>
      <w:r>
        <w:rPr>
          <w:rFonts w:hint="eastAsia"/>
          <w:shd w:val="clear" w:color="auto" w:fill="auto"/>
        </w:rPr>
        <w:t>聚焦巡视巡察发现问题、薄弱环节和短板弱项，建立整改台账，实行销号管理，完善长效监管机制，力戒形式主义。坚持边查边改、立行立改、真改实改，对已经整改销号的持续巩固成效，防止反弹，杜绝“一销了之”；对尚未销号的，落实措施、标本兼治、靶向治疗、彻底整改；对群众反映强烈的，全面排查，举一反三，确保矛盾不积压、问题不积累。深刻汲取秦岭北麓违规建造别墅问题教训，适时组织“回头看”，以实际行动保护好一方青山绿水。</w:t>
      </w:r>
    </w:p>
    <w:p w14:paraId="3D10188B">
      <w:pPr>
        <w:pStyle w:val="32"/>
        <w:spacing w:before="156" w:after="156"/>
        <w:ind w:firstLine="640"/>
        <w:rPr>
          <w:shd w:val="clear" w:color="auto" w:fill="auto"/>
        </w:rPr>
      </w:pPr>
      <w:bookmarkStart w:id="64" w:name="_Toc59298982"/>
      <w:r>
        <w:rPr>
          <w:shd w:val="clear" w:color="auto" w:fill="auto"/>
        </w:rPr>
        <w:t>三</w:t>
      </w:r>
      <w:r>
        <w:rPr>
          <w:rFonts w:hint="eastAsia"/>
          <w:shd w:val="clear" w:color="auto" w:fill="auto"/>
        </w:rPr>
        <w:t>、</w:t>
      </w:r>
      <w:r>
        <w:rPr>
          <w:shd w:val="clear" w:color="auto" w:fill="auto"/>
        </w:rPr>
        <w:t>完善制度建设</w:t>
      </w:r>
      <w:bookmarkEnd w:id="64"/>
    </w:p>
    <w:p w14:paraId="13AA2C3E">
      <w:pPr>
        <w:pStyle w:val="22"/>
        <w:ind w:firstLine="640"/>
      </w:pPr>
      <w:r>
        <w:rPr>
          <w:rFonts w:hint="eastAsia"/>
        </w:rPr>
        <w:t>健全最严格的林地保护制度，严格管控林地征用行为。完善天然林保护修复制度，通过制定天然林保护规划、实施方案，分解落实天然林保护责任和修复任务。建立最严格的湿地保护制度，科学合理划定并严守湿地保护红线，确保湿地生态功能不降低、面积不减少、性质不改变。完善河长制、湖长制长效管理机制，强化河湖管理与保护。积极探索政府主导、企业和社会各界参与、市场化运作、可持续发展的生态产品价值实现路径，推动建立健全生态产品价值实现机制。建立网格员人员调整、日常巡查、激励奖惩等制度，加大业务能力培训，实现专职专岗、一职多能。完善公众监督和举报反馈机制，方便公众监督。依法对破坏、污染秦岭生态环境的行为，开展公益诉讼等活动。</w:t>
      </w:r>
    </w:p>
    <w:p w14:paraId="741134E8">
      <w:pPr>
        <w:pStyle w:val="32"/>
        <w:spacing w:before="156" w:after="156"/>
        <w:ind w:firstLine="640"/>
        <w:rPr>
          <w:shd w:val="clear" w:color="auto" w:fill="auto"/>
        </w:rPr>
      </w:pPr>
      <w:bookmarkStart w:id="65" w:name="_Toc59298983"/>
      <w:r>
        <w:rPr>
          <w:rFonts w:hint="eastAsia"/>
          <w:shd w:val="clear" w:color="auto" w:fill="auto"/>
        </w:rPr>
        <w:t>四、加大资金投入</w:t>
      </w:r>
      <w:bookmarkEnd w:id="65"/>
    </w:p>
    <w:p w14:paraId="25EE54B3">
      <w:pPr>
        <w:pStyle w:val="22"/>
        <w:ind w:firstLine="640"/>
      </w:pPr>
      <w:r>
        <w:rPr>
          <w:rFonts w:hint="eastAsia"/>
        </w:rPr>
        <w:t>县人民政府应当将秦岭生态环境保护纳入国民经济和社会发展规划，设立镇安县秦岭生态环境保护专项资金，纳入年度财政预算予以保障。用好秦岭生态环境保护专项资金，推进水源涵养、水资源保护、水土保持、生物多样性保护、植被恢复、矿山环境治理等有关秦岭</w:t>
      </w:r>
      <w:r>
        <w:rPr>
          <w:rFonts w:hint="eastAsia"/>
          <w:shd w:val="clear" w:color="auto" w:fill="auto"/>
        </w:rPr>
        <w:t>生态环境保护和生态系统检测、维护、修复及其综合管理工作。依法统筹相关资金，用于秦岭生态环境保护的基础设施建设，支持绿色生态产业发展，改善当地居民的生产生活条件。积极争取国家和陕西省政策和资金支持，因地制宜发展对生态环境有益的特色产业，改善当地人民群众生产生活条件。建立多元化投融资机制，拓展秦岭生态环境保护资金捐助、资助方式，鼓励社会组织和个人捐助、资助秦岭生态环境保护工作，通过开发信托产品、金融衍生产品等方式引导社会资金投入，支持绿色金融发展。</w:t>
      </w:r>
    </w:p>
    <w:p w14:paraId="317D858E">
      <w:pPr>
        <w:pStyle w:val="32"/>
        <w:spacing w:before="156" w:after="156"/>
        <w:ind w:firstLine="640"/>
        <w:rPr>
          <w:shd w:val="clear" w:color="auto" w:fill="auto"/>
        </w:rPr>
      </w:pPr>
      <w:bookmarkStart w:id="66" w:name="_Toc59298984"/>
      <w:r>
        <w:rPr>
          <w:rFonts w:hint="eastAsia"/>
          <w:shd w:val="clear" w:color="auto" w:fill="auto"/>
        </w:rPr>
        <w:t>五、</w:t>
      </w:r>
      <w:r>
        <w:rPr>
          <w:shd w:val="clear" w:color="auto" w:fill="auto"/>
        </w:rPr>
        <w:t>强化科技支撑</w:t>
      </w:r>
      <w:bookmarkEnd w:id="66"/>
    </w:p>
    <w:p w14:paraId="37797559">
      <w:pPr>
        <w:pStyle w:val="22"/>
        <w:ind w:firstLine="640"/>
        <w:rPr>
          <w:shd w:val="clear" w:color="auto" w:fill="auto"/>
        </w:rPr>
      </w:pPr>
      <w:r>
        <w:rPr>
          <w:rFonts w:hint="eastAsia"/>
          <w:shd w:val="clear" w:color="auto" w:fill="auto"/>
        </w:rPr>
        <w:t>围绕秦岭保护重点领域的重大科技需求，开展水资源及流域水环境保护、生物多样性保护、重金属污染、矿山生态恢复治理、地质灾害预警研究等重大科技攻关活动，加快形成一批关键技术，有效解决环境监测、治理和修复等方面的技术瓶颈，尽快形成成熟生态修复工艺，提高环境治理水平。加大物联网、大数据、无人机等先进监测、监管技术手段在生态环境保护工作中的应用力度，积极探索“机制+科技”的生态环境保护新模式。统筹全县生态环境保护信息化系统和平台建设，加大生态环境保护信息化工作建设的财政支持力度。建立健全各级相关部门保护信息的采集、处理、共享及运用体制机制，提升监管信息化水平，提高监管效能。</w:t>
      </w:r>
    </w:p>
    <w:p w14:paraId="4997AC3A">
      <w:pPr>
        <w:pStyle w:val="32"/>
        <w:spacing w:before="156" w:after="156"/>
        <w:ind w:firstLine="640"/>
        <w:rPr>
          <w:shd w:val="clear" w:color="auto" w:fill="auto"/>
        </w:rPr>
      </w:pPr>
      <w:bookmarkStart w:id="67" w:name="_Toc59298985"/>
      <w:r>
        <w:rPr>
          <w:rFonts w:hint="eastAsia"/>
          <w:shd w:val="clear" w:color="auto" w:fill="auto"/>
        </w:rPr>
        <w:t>六、加强监督管理</w:t>
      </w:r>
      <w:bookmarkEnd w:id="67"/>
    </w:p>
    <w:p w14:paraId="5AB6FF31">
      <w:pPr>
        <w:pStyle w:val="22"/>
        <w:ind w:firstLine="640"/>
        <w:rPr>
          <w:shd w:val="clear" w:color="auto" w:fill="auto"/>
        </w:rPr>
      </w:pPr>
      <w:r>
        <w:rPr>
          <w:rFonts w:hint="eastAsia"/>
          <w:shd w:val="clear" w:color="auto" w:fill="auto"/>
        </w:rPr>
        <w:t>县人民政府及其发改、资源、林业、环境、住建、水利、农业农村、文旅、市场监督等行政主管部门应当依法履行监督管理和行政执法职责，做好秦岭生态环境保护的监督管理工作。持续加强秦岭生态环境保护网格化信息化监管平台建设，注重源头管控，充分利用好网格化监管平台，加强日常巡查和宣传引导，对各类破坏秦岭生态环境的行为，做到及时发现、及时制止、及时整改、及时报告，实现破坏秦岭生态环境问题零增长。整合生态环境监督网格员、护林员、巡河员等行业监管力量，建立网格员人员调整、日常巡查、激励奖惩等制度，加大业务能力培训，实现专职专岗、一职多能。畅通秦岭生态环境保护举报渠道，公布投诉、举报联系方式，完善公众监督和举报反馈机制，方便公众监督。</w:t>
      </w:r>
    </w:p>
    <w:p w14:paraId="3968D7A3">
      <w:pPr>
        <w:pStyle w:val="32"/>
        <w:spacing w:before="156" w:after="156"/>
        <w:ind w:firstLine="640"/>
        <w:rPr>
          <w:shd w:val="clear" w:color="auto" w:fill="auto"/>
        </w:rPr>
      </w:pPr>
      <w:bookmarkStart w:id="68" w:name="_Toc59298986"/>
      <w:r>
        <w:rPr>
          <w:rFonts w:hint="eastAsia"/>
          <w:shd w:val="clear" w:color="auto" w:fill="auto"/>
        </w:rPr>
        <w:t>七、严格考核评估</w:t>
      </w:r>
      <w:bookmarkEnd w:id="68"/>
    </w:p>
    <w:p w14:paraId="06256415">
      <w:pPr>
        <w:pStyle w:val="22"/>
        <w:ind w:firstLine="640"/>
        <w:rPr>
          <w:shd w:val="clear" w:color="auto" w:fill="auto"/>
        </w:rPr>
      </w:pPr>
      <w:r>
        <w:rPr>
          <w:rFonts w:hint="eastAsia"/>
          <w:shd w:val="clear" w:color="auto" w:fill="auto"/>
        </w:rPr>
        <w:t>继续实施秦岭生态环境保护工作年度目标责任考核，科学设置考核指标体系，完善专项考核办法，严格落实领导干部自然资源资产离任审计、生态环境损害责任追究等制度，运用鼓励激励机制，引导有关部门落实保护责任，强化工作举措。严格落实“党政同责、一岗双责”，对问题整改不到位、整而未治、禁而不绝的，严肃追究相关责任人责任，确保指出问题立行立改、新增问题坚决遏制、特殊问题限期整改。</w:t>
      </w:r>
    </w:p>
    <w:p w14:paraId="637D2144">
      <w:pPr>
        <w:pStyle w:val="32"/>
        <w:spacing w:before="156" w:after="156"/>
        <w:ind w:firstLine="640"/>
        <w:rPr>
          <w:shd w:val="clear" w:color="auto" w:fill="auto"/>
        </w:rPr>
      </w:pPr>
      <w:bookmarkStart w:id="69" w:name="_Toc59298987"/>
      <w:r>
        <w:rPr>
          <w:rFonts w:hint="eastAsia"/>
          <w:shd w:val="clear" w:color="auto" w:fill="auto"/>
        </w:rPr>
        <w:t>八、深化宣传引导</w:t>
      </w:r>
      <w:bookmarkEnd w:id="69"/>
    </w:p>
    <w:p w14:paraId="52720AEA">
      <w:pPr>
        <w:pStyle w:val="22"/>
        <w:ind w:firstLine="640"/>
        <w:rPr>
          <w:shd w:val="clear" w:color="auto" w:fill="auto"/>
        </w:rPr>
      </w:pPr>
      <w:r>
        <w:rPr>
          <w:rFonts w:hint="eastAsia"/>
          <w:shd w:val="clear" w:color="auto" w:fill="auto"/>
        </w:rPr>
        <w:t>积极组织各部门认真学习《条例》、省市规划、实施方案及相关政策文件，准确掌握职责权限、业务流程，确保相关法律法规得到全面贯彻实施。报刊、广播电视、新闻出版、网络媒体等以及县资源、林业、环境、文旅、科教等有关部门和单位应当结合“世界环境日</w:t>
      </w:r>
      <w:r>
        <w:rPr>
          <w:rFonts w:hint="eastAsia"/>
          <w:shd w:val="clear" w:color="auto" w:fill="auto"/>
          <w:lang w:eastAsia="zh-CN"/>
        </w:rPr>
        <w:t>”“</w:t>
      </w:r>
      <w:r>
        <w:rPr>
          <w:rFonts w:hint="eastAsia"/>
          <w:shd w:val="clear" w:color="auto" w:fill="auto"/>
        </w:rPr>
        <w:t>世界生物多样性日</w:t>
      </w:r>
      <w:r>
        <w:rPr>
          <w:rFonts w:hint="eastAsia"/>
          <w:shd w:val="clear" w:color="auto" w:fill="auto"/>
          <w:lang w:eastAsia="zh-CN"/>
        </w:rPr>
        <w:t>”“</w:t>
      </w:r>
      <w:r>
        <w:rPr>
          <w:rFonts w:hint="eastAsia"/>
          <w:shd w:val="clear" w:color="auto" w:fill="auto"/>
        </w:rPr>
        <w:t>国际湿地日</w:t>
      </w:r>
      <w:r>
        <w:rPr>
          <w:rFonts w:hint="eastAsia"/>
          <w:shd w:val="clear" w:color="auto" w:fill="auto"/>
          <w:lang w:eastAsia="zh-CN"/>
        </w:rPr>
        <w:t>”“</w:t>
      </w:r>
      <w:r>
        <w:rPr>
          <w:rFonts w:hint="eastAsia"/>
          <w:shd w:val="clear" w:color="auto" w:fill="auto"/>
        </w:rPr>
        <w:t>世界水日</w:t>
      </w:r>
      <w:r>
        <w:rPr>
          <w:rFonts w:hint="eastAsia"/>
          <w:shd w:val="clear" w:color="auto" w:fill="auto"/>
          <w:lang w:eastAsia="zh-CN"/>
        </w:rPr>
        <w:t>”“</w:t>
      </w:r>
      <w:r>
        <w:rPr>
          <w:rFonts w:hint="eastAsia"/>
          <w:shd w:val="clear" w:color="auto" w:fill="auto"/>
        </w:rPr>
        <w:t>中国水周”等各种纪念活动，组织开展秦岭生态环境保护知识和法律法规的宣传教育工作，常态化开展秦岭生态环境保护“进机关、进校园、进企业、进社区、进家庭”五进活动，深入开展“保护大秦岭青年志愿者活动</w:t>
      </w:r>
      <w:r>
        <w:rPr>
          <w:rFonts w:hint="eastAsia"/>
          <w:shd w:val="clear" w:color="auto" w:fill="auto"/>
          <w:lang w:eastAsia="zh-CN"/>
        </w:rPr>
        <w:t>”“</w:t>
      </w:r>
      <w:r>
        <w:rPr>
          <w:rFonts w:hint="eastAsia"/>
          <w:shd w:val="clear" w:color="auto" w:fill="auto"/>
        </w:rPr>
        <w:t>小手拉大手”等公益志愿活动，提高公众的生态环境保护意识，自觉当好秦岭生态卫士。有组织地开展秦岭生态环境保护集中宣讲、志愿者行动、巡山巡河、绿化美化、卫生整治、执法检查、生态体验、教学实习、社区共建、绿色营地、国际合作以及图书、影像、挂图资料的编制与传播等活动，使关注秦岭、保护秦岭成为广大群众的自觉行动。</w:t>
      </w:r>
    </w:p>
    <w:p w14:paraId="186E155E">
      <w:pPr>
        <w:pStyle w:val="22"/>
        <w:ind w:firstLine="640"/>
        <w:rPr>
          <w:shd w:val="clear" w:color="auto" w:fill="auto"/>
        </w:rPr>
      </w:pPr>
    </w:p>
    <w:p w14:paraId="5328343F">
      <w:pPr>
        <w:pStyle w:val="22"/>
        <w:ind w:firstLine="640"/>
        <w:rPr>
          <w:shd w:val="clear" w:color="auto" w:fill="auto"/>
        </w:rPr>
      </w:pPr>
    </w:p>
    <w:p w14:paraId="4869486D">
      <w:pPr>
        <w:pStyle w:val="22"/>
        <w:ind w:firstLine="640"/>
        <w:rPr>
          <w:shd w:val="clear" w:color="auto" w:fill="auto"/>
        </w:rPr>
      </w:pPr>
    </w:p>
    <w:p w14:paraId="50168D14">
      <w:pPr>
        <w:pStyle w:val="26"/>
        <w:spacing w:before="312" w:after="312"/>
        <w:ind w:firstLine="640" w:firstLineChars="200"/>
        <w:jc w:val="both"/>
        <w:rPr>
          <w:rFonts w:ascii="仿宋_GB2312" w:eastAsia="仿宋_GB2312"/>
          <w:sz w:val="32"/>
          <w:shd w:val="clear" w:color="auto" w:fill="auto"/>
        </w:rPr>
      </w:pPr>
      <w:bookmarkStart w:id="70" w:name="_Toc59298988"/>
      <w:r>
        <w:rPr>
          <w:rFonts w:hint="eastAsia" w:ascii="仿宋_GB2312" w:eastAsia="仿宋_GB2312"/>
          <w:sz w:val="32"/>
          <w:shd w:val="clear" w:color="auto" w:fill="auto"/>
        </w:rPr>
        <w:t>附件：镇安县秦岭生态环境保护规划分区示意图</w:t>
      </w:r>
      <w:bookmarkEnd w:id="70"/>
    </w:p>
    <w:p w14:paraId="472AA0D4">
      <w:pPr>
        <w:pStyle w:val="22"/>
        <w:ind w:firstLine="640"/>
        <w:rPr>
          <w:shd w:val="clear" w:color="auto" w:fill="auto"/>
        </w:rPr>
      </w:pPr>
    </w:p>
    <w:p w14:paraId="3A2A6C04">
      <w:pPr>
        <w:pStyle w:val="22"/>
        <w:ind w:firstLine="198" w:firstLineChars="62"/>
        <w:rPr>
          <w:shd w:val="clear" w:color="auto" w:fill="auto"/>
        </w:rPr>
        <w:sectPr>
          <w:pgSz w:w="11906" w:h="16838"/>
          <w:pgMar w:top="1531" w:right="1531" w:bottom="1418" w:left="1531" w:header="851" w:footer="992" w:gutter="0"/>
          <w:pgNumType w:fmt="numberInDash"/>
          <w:cols w:space="425" w:num="1"/>
          <w:docGrid w:type="lines" w:linePitch="312" w:charSpace="0"/>
        </w:sectPr>
      </w:pPr>
    </w:p>
    <w:p w14:paraId="5E712636">
      <w:pPr>
        <w:pStyle w:val="22"/>
        <w:ind w:firstLine="0" w:firstLineChars="0"/>
        <w:rPr>
          <w:shd w:val="clear" w:color="auto" w:fill="auto"/>
        </w:rPr>
      </w:pPr>
    </w:p>
    <w:p w14:paraId="35D3C441">
      <w:pPr>
        <w:pStyle w:val="38"/>
        <w:rPr>
          <w:shd w:val="clear" w:color="auto" w:fill="auto"/>
        </w:rPr>
      </w:pPr>
      <w:r>
        <w:rPr>
          <w:rFonts w:hint="eastAsia"/>
          <w:shd w:val="clear" w:color="auto" w:fill="auto"/>
        </w:rPr>
        <w:drawing>
          <wp:inline distT="0" distB="0" distL="0" distR="0">
            <wp:extent cx="11760835" cy="82530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rcRect l="2210" t="1458" r="2441" b="1456"/>
                    <a:stretch>
                      <a:fillRect/>
                    </a:stretch>
                  </pic:blipFill>
                  <pic:spPr>
                    <a:xfrm>
                      <a:off x="0" y="0"/>
                      <a:ext cx="11767562" cy="8257677"/>
                    </a:xfrm>
                    <a:prstGeom prst="rect">
                      <a:avLst/>
                    </a:prstGeom>
                    <a:ln>
                      <a:noFill/>
                    </a:ln>
                  </pic:spPr>
                </pic:pic>
              </a:graphicData>
            </a:graphic>
          </wp:inline>
        </w:drawing>
      </w:r>
    </w:p>
    <w:sectPr>
      <w:pgSz w:w="23814" w:h="16839" w:orient="landscape"/>
      <w:pgMar w:top="1531" w:right="1531" w:bottom="1531"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118E23-C4AA-4510-BCDE-0753DB9162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3D1DCA5-9A9D-45C4-A3C1-38F16A7E5BAE}"/>
  </w:font>
  <w:font w:name="仿宋_GB2312">
    <w:panose1 w:val="02010609030101010101"/>
    <w:charset w:val="86"/>
    <w:family w:val="modern"/>
    <w:pitch w:val="default"/>
    <w:sig w:usb0="00000001" w:usb1="080E0000" w:usb2="00000000" w:usb3="00000000" w:csb0="00040000" w:csb1="00000000"/>
    <w:embedRegular r:id="rId3" w:fontKey="{256BD5B9-8776-422B-BE49-914AC7A19395}"/>
  </w:font>
  <w:font w:name="楷体_GB2312">
    <w:altName w:val="楷体"/>
    <w:panose1 w:val="02010609030101010101"/>
    <w:charset w:val="86"/>
    <w:family w:val="modern"/>
    <w:pitch w:val="default"/>
    <w:sig w:usb0="00000000" w:usb1="00000000" w:usb2="00000000" w:usb3="00000000" w:csb0="00040000" w:csb1="00000000"/>
    <w:embedRegular r:id="rId4" w:fontKey="{E42D8656-A030-4EB2-8A2B-A8A1B9EFF0F6}"/>
  </w:font>
  <w:font w:name="楷体">
    <w:panose1 w:val="02010609060101010101"/>
    <w:charset w:val="86"/>
    <w:family w:val="auto"/>
    <w:pitch w:val="default"/>
    <w:sig w:usb0="800002BF" w:usb1="38CF7CFA" w:usb2="00000016" w:usb3="00000000" w:csb0="00040001" w:csb1="00000000"/>
  </w:font>
  <w:font w:name="方正小标宋简体">
    <w:panose1 w:val="02010600010101010101"/>
    <w:charset w:val="86"/>
    <w:family w:val="script"/>
    <w:pitch w:val="default"/>
    <w:sig w:usb0="00000001" w:usb1="080E0000" w:usb2="00000000" w:usb3="00000000" w:csb0="00040000" w:csb1="00000000"/>
    <w:embedRegular r:id="rId5" w:fontKey="{31B79840-AB7C-44D9-8BA2-7A1456B216FF}"/>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6" w:fontKey="{8F272B62-A05D-438B-B1DC-1FBA06CCE3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5339953"/>
      <w:docPartObj>
        <w:docPartGallery w:val="autotext"/>
      </w:docPartObj>
    </w:sdtPr>
    <w:sdtEndPr>
      <w:rPr>
        <w:rFonts w:ascii="Times New Roman" w:hAnsi="Times New Roman" w:cs="Times New Roman"/>
        <w:sz w:val="21"/>
        <w:szCs w:val="21"/>
      </w:rPr>
    </w:sdtEndPr>
    <w:sdtContent>
      <w:p w14:paraId="49229ED5">
        <w:pPr>
          <w:pStyle w:val="7"/>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III</w:t>
        </w:r>
        <w:r>
          <w:rPr>
            <w:rFonts w:ascii="Times New Roman" w:hAnsi="Times New Roman" w:cs="Times New Roman"/>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85F9D">
    <w:pPr>
      <w:pStyle w:val="7"/>
      <w:jc w:val="center"/>
      <w:rPr>
        <w:rFonts w:ascii="Times New Roman" w:hAnsi="Times New Roman" w:cs="Times New Roman"/>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3763641"/>
      <w:docPartObj>
        <w:docPartGallery w:val="autotext"/>
      </w:docPartObj>
    </w:sdtPr>
    <w:sdtEndPr>
      <w:rPr>
        <w:rFonts w:ascii="Times New Roman" w:hAnsi="Times New Roman" w:cs="Times New Roman"/>
        <w:sz w:val="21"/>
        <w:szCs w:val="21"/>
      </w:rPr>
    </w:sdtEndPr>
    <w:sdtContent>
      <w:p w14:paraId="7E817CF5">
        <w:pPr>
          <w:pStyle w:val="7"/>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w:t>
        </w:r>
        <w:r>
          <w:rPr>
            <w:rFonts w:ascii="Times New Roman" w:hAnsi="Times New Roman" w:cs="Times New Roman"/>
            <w:sz w:val="21"/>
            <w:szCs w:val="21"/>
          </w:rPr>
          <w:t xml:space="preserve"> 88 -</w:t>
        </w:r>
        <w:r>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1B174580">
      <w:pPr>
        <w:pStyle w:val="10"/>
      </w:pPr>
      <w:r>
        <w:rPr>
          <w:rStyle w:val="20"/>
        </w:rPr>
        <w:footnoteRef/>
      </w:r>
      <w:r>
        <w:rPr>
          <w:rFonts w:hint="eastAsia"/>
          <w:sz w:val="21"/>
          <w:szCs w:val="21"/>
        </w:rPr>
        <w:t>注：本《实施方案》中核心保护区面积计算使用的矢量数据为县自然资源局、县林业局等单位提供的数据，待开展秦岭生态环境保护勘界立标工作后，进一步核实、明确。</w:t>
      </w:r>
    </w:p>
  </w:footnote>
  <w:footnote w:id="1">
    <w:p w14:paraId="52BCB230">
      <w:pPr>
        <w:pStyle w:val="10"/>
      </w:pPr>
      <w:r>
        <w:rPr>
          <w:rStyle w:val="20"/>
        </w:rPr>
        <w:footnoteRef/>
      </w:r>
      <w:r>
        <w:rPr>
          <w:rFonts w:hint="eastAsia" w:asciiTheme="minorEastAsia" w:hAnsiTheme="minorEastAsia"/>
          <w:sz w:val="21"/>
          <w:szCs w:val="21"/>
        </w:rPr>
        <w:t>注：本《实施方案》中重点保护区面积计算使用的矢量数据为县自然资源局、县林业局等单位提供的数据，待开展秦岭生态环境保护勘界立标工作后，进一步核实、明确。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033FF">
    <w:pPr>
      <w:pStyle w:val="22"/>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9FFD6">
    <w:pPr>
      <w:pStyle w:val="22"/>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1C74C">
    <w:pPr>
      <w:pStyle w:val="8"/>
      <w:rPr>
        <w:rFonts w:ascii="楷体_GB2312" w:eastAsia="楷体_GB2312"/>
        <w:sz w:val="28"/>
        <w:szCs w:val="28"/>
      </w:rPr>
    </w:pPr>
    <w:r>
      <w:rPr>
        <w:rFonts w:hint="eastAsia" w:ascii="楷体_GB2312" w:eastAsia="楷体_GB2312"/>
        <w:sz w:val="28"/>
        <w:szCs w:val="28"/>
      </w:rPr>
      <w:t>镇安县秦岭生态环境保护实施方案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1875A">
    <w:pPr>
      <w:pStyle w:val="22"/>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28FAD">
    <w:pPr>
      <w:pStyle w:val="8"/>
      <w:rPr>
        <w:rFonts w:ascii="楷体_GB2312" w:eastAsia="楷体_GB2312"/>
        <w:sz w:val="28"/>
        <w:szCs w:val="28"/>
      </w:rPr>
    </w:pPr>
    <w:r>
      <w:rPr>
        <w:rFonts w:hint="eastAsia" w:ascii="楷体_GB2312" w:eastAsia="楷体_GB2312"/>
        <w:sz w:val="28"/>
        <w:szCs w:val="28"/>
      </w:rPr>
      <w:t>镇安县秦岭生态环境保护实施方案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4"/>
    <w:footnote w:id="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95D"/>
    <w:rsid w:val="00000796"/>
    <w:rsid w:val="000027B3"/>
    <w:rsid w:val="000100BB"/>
    <w:rsid w:val="00011C48"/>
    <w:rsid w:val="00012154"/>
    <w:rsid w:val="0001333E"/>
    <w:rsid w:val="000133EE"/>
    <w:rsid w:val="00017180"/>
    <w:rsid w:val="000219B2"/>
    <w:rsid w:val="000227FD"/>
    <w:rsid w:val="000321F0"/>
    <w:rsid w:val="00035519"/>
    <w:rsid w:val="00037E1E"/>
    <w:rsid w:val="00041B01"/>
    <w:rsid w:val="000429CC"/>
    <w:rsid w:val="00045168"/>
    <w:rsid w:val="000519A1"/>
    <w:rsid w:val="000523A8"/>
    <w:rsid w:val="0005281F"/>
    <w:rsid w:val="000534B6"/>
    <w:rsid w:val="000561C4"/>
    <w:rsid w:val="00057235"/>
    <w:rsid w:val="000652BA"/>
    <w:rsid w:val="000657FE"/>
    <w:rsid w:val="00067F23"/>
    <w:rsid w:val="000705FF"/>
    <w:rsid w:val="000716C3"/>
    <w:rsid w:val="00075DCD"/>
    <w:rsid w:val="00083B35"/>
    <w:rsid w:val="00090F33"/>
    <w:rsid w:val="00092F8A"/>
    <w:rsid w:val="0009600A"/>
    <w:rsid w:val="00097F1A"/>
    <w:rsid w:val="000A3B15"/>
    <w:rsid w:val="000A50D7"/>
    <w:rsid w:val="000B1030"/>
    <w:rsid w:val="000B3C9C"/>
    <w:rsid w:val="000B46F2"/>
    <w:rsid w:val="000B5C47"/>
    <w:rsid w:val="000B5CB2"/>
    <w:rsid w:val="000C022B"/>
    <w:rsid w:val="000C0F7E"/>
    <w:rsid w:val="000C1BB3"/>
    <w:rsid w:val="000C4B5E"/>
    <w:rsid w:val="000C50CB"/>
    <w:rsid w:val="000D64D1"/>
    <w:rsid w:val="000E06E0"/>
    <w:rsid w:val="000E0AB6"/>
    <w:rsid w:val="000E1C10"/>
    <w:rsid w:val="000E33C3"/>
    <w:rsid w:val="000E43AF"/>
    <w:rsid w:val="000E5209"/>
    <w:rsid w:val="000F104B"/>
    <w:rsid w:val="000F34CB"/>
    <w:rsid w:val="00107475"/>
    <w:rsid w:val="00110FE7"/>
    <w:rsid w:val="001129D4"/>
    <w:rsid w:val="00114355"/>
    <w:rsid w:val="00120D58"/>
    <w:rsid w:val="00124563"/>
    <w:rsid w:val="001261FD"/>
    <w:rsid w:val="00127D7C"/>
    <w:rsid w:val="00140495"/>
    <w:rsid w:val="0014051D"/>
    <w:rsid w:val="001464DE"/>
    <w:rsid w:val="00147DF1"/>
    <w:rsid w:val="0015238A"/>
    <w:rsid w:val="00153B51"/>
    <w:rsid w:val="00162536"/>
    <w:rsid w:val="0016307A"/>
    <w:rsid w:val="00163E69"/>
    <w:rsid w:val="00171C74"/>
    <w:rsid w:val="001738CF"/>
    <w:rsid w:val="00181AB4"/>
    <w:rsid w:val="0018241A"/>
    <w:rsid w:val="00182FA8"/>
    <w:rsid w:val="001872C7"/>
    <w:rsid w:val="00187C41"/>
    <w:rsid w:val="001916B1"/>
    <w:rsid w:val="001922D1"/>
    <w:rsid w:val="00192745"/>
    <w:rsid w:val="00192A18"/>
    <w:rsid w:val="00193D12"/>
    <w:rsid w:val="001A0111"/>
    <w:rsid w:val="001A0A4B"/>
    <w:rsid w:val="001A1056"/>
    <w:rsid w:val="001A14D4"/>
    <w:rsid w:val="001B17A2"/>
    <w:rsid w:val="001B2482"/>
    <w:rsid w:val="001B2641"/>
    <w:rsid w:val="001B3052"/>
    <w:rsid w:val="001B3408"/>
    <w:rsid w:val="001B3CBF"/>
    <w:rsid w:val="001B441B"/>
    <w:rsid w:val="001B4D77"/>
    <w:rsid w:val="001B60CD"/>
    <w:rsid w:val="001B6CD9"/>
    <w:rsid w:val="001B799C"/>
    <w:rsid w:val="001C10FD"/>
    <w:rsid w:val="001C1466"/>
    <w:rsid w:val="001C2840"/>
    <w:rsid w:val="001C5861"/>
    <w:rsid w:val="001D05E5"/>
    <w:rsid w:val="001D2EEF"/>
    <w:rsid w:val="001D4D05"/>
    <w:rsid w:val="001D5E34"/>
    <w:rsid w:val="001E612D"/>
    <w:rsid w:val="001E64D9"/>
    <w:rsid w:val="001F0ECA"/>
    <w:rsid w:val="001F159C"/>
    <w:rsid w:val="001F1C05"/>
    <w:rsid w:val="001F2E5B"/>
    <w:rsid w:val="001F3AAE"/>
    <w:rsid w:val="001F4E9F"/>
    <w:rsid w:val="001F6BE0"/>
    <w:rsid w:val="00201D8E"/>
    <w:rsid w:val="00203791"/>
    <w:rsid w:val="00207698"/>
    <w:rsid w:val="00211665"/>
    <w:rsid w:val="00211975"/>
    <w:rsid w:val="0021257C"/>
    <w:rsid w:val="00214033"/>
    <w:rsid w:val="00215736"/>
    <w:rsid w:val="00217AA4"/>
    <w:rsid w:val="002253F0"/>
    <w:rsid w:val="002278F1"/>
    <w:rsid w:val="00230939"/>
    <w:rsid w:val="00230B8F"/>
    <w:rsid w:val="00232285"/>
    <w:rsid w:val="002474AD"/>
    <w:rsid w:val="002477BD"/>
    <w:rsid w:val="00250756"/>
    <w:rsid w:val="00252093"/>
    <w:rsid w:val="00252CFA"/>
    <w:rsid w:val="00255C8F"/>
    <w:rsid w:val="0025661A"/>
    <w:rsid w:val="00256C13"/>
    <w:rsid w:val="0025728E"/>
    <w:rsid w:val="00260B94"/>
    <w:rsid w:val="00264375"/>
    <w:rsid w:val="002649D9"/>
    <w:rsid w:val="00266BBD"/>
    <w:rsid w:val="00266E28"/>
    <w:rsid w:val="002677E7"/>
    <w:rsid w:val="00270D65"/>
    <w:rsid w:val="002725F9"/>
    <w:rsid w:val="00275119"/>
    <w:rsid w:val="0027698F"/>
    <w:rsid w:val="00281318"/>
    <w:rsid w:val="00281529"/>
    <w:rsid w:val="002849E9"/>
    <w:rsid w:val="002851ED"/>
    <w:rsid w:val="002854F4"/>
    <w:rsid w:val="002925F1"/>
    <w:rsid w:val="00294841"/>
    <w:rsid w:val="0029517A"/>
    <w:rsid w:val="00295A66"/>
    <w:rsid w:val="002A224F"/>
    <w:rsid w:val="002A3681"/>
    <w:rsid w:val="002A5BC5"/>
    <w:rsid w:val="002A698F"/>
    <w:rsid w:val="002B2968"/>
    <w:rsid w:val="002B3B12"/>
    <w:rsid w:val="002B55B4"/>
    <w:rsid w:val="002B5672"/>
    <w:rsid w:val="002C02D6"/>
    <w:rsid w:val="002D07E7"/>
    <w:rsid w:val="002D1191"/>
    <w:rsid w:val="002D124B"/>
    <w:rsid w:val="002D1640"/>
    <w:rsid w:val="002D7BBB"/>
    <w:rsid w:val="002E165D"/>
    <w:rsid w:val="002E4010"/>
    <w:rsid w:val="002F1454"/>
    <w:rsid w:val="002F1EC4"/>
    <w:rsid w:val="002F3C98"/>
    <w:rsid w:val="002F5AB7"/>
    <w:rsid w:val="003043F3"/>
    <w:rsid w:val="00306275"/>
    <w:rsid w:val="00310349"/>
    <w:rsid w:val="003112E2"/>
    <w:rsid w:val="00311637"/>
    <w:rsid w:val="00315537"/>
    <w:rsid w:val="00317085"/>
    <w:rsid w:val="00322987"/>
    <w:rsid w:val="00322DA5"/>
    <w:rsid w:val="00322E0E"/>
    <w:rsid w:val="003253CD"/>
    <w:rsid w:val="00330EEB"/>
    <w:rsid w:val="003339EE"/>
    <w:rsid w:val="00346AA1"/>
    <w:rsid w:val="003473DF"/>
    <w:rsid w:val="003516E9"/>
    <w:rsid w:val="0035270A"/>
    <w:rsid w:val="00352821"/>
    <w:rsid w:val="003528B0"/>
    <w:rsid w:val="00353C34"/>
    <w:rsid w:val="00355581"/>
    <w:rsid w:val="003559EB"/>
    <w:rsid w:val="00364619"/>
    <w:rsid w:val="0036509B"/>
    <w:rsid w:val="00367C63"/>
    <w:rsid w:val="00370E10"/>
    <w:rsid w:val="003717AB"/>
    <w:rsid w:val="00371AA3"/>
    <w:rsid w:val="00373666"/>
    <w:rsid w:val="00374733"/>
    <w:rsid w:val="00374D90"/>
    <w:rsid w:val="0037547F"/>
    <w:rsid w:val="00377E70"/>
    <w:rsid w:val="00380493"/>
    <w:rsid w:val="0038076E"/>
    <w:rsid w:val="0038392F"/>
    <w:rsid w:val="00384BD3"/>
    <w:rsid w:val="003868C5"/>
    <w:rsid w:val="00390A7E"/>
    <w:rsid w:val="00390D48"/>
    <w:rsid w:val="00392494"/>
    <w:rsid w:val="003932A3"/>
    <w:rsid w:val="0039398B"/>
    <w:rsid w:val="00394BB9"/>
    <w:rsid w:val="00395BCF"/>
    <w:rsid w:val="0039722C"/>
    <w:rsid w:val="003976BA"/>
    <w:rsid w:val="003A6B7B"/>
    <w:rsid w:val="003B00C5"/>
    <w:rsid w:val="003B0EC3"/>
    <w:rsid w:val="003B4439"/>
    <w:rsid w:val="003B7055"/>
    <w:rsid w:val="003C523C"/>
    <w:rsid w:val="003C5DC5"/>
    <w:rsid w:val="003C7DF4"/>
    <w:rsid w:val="003D01A4"/>
    <w:rsid w:val="003D2A0B"/>
    <w:rsid w:val="003D5CE5"/>
    <w:rsid w:val="003D68E0"/>
    <w:rsid w:val="003D6DCB"/>
    <w:rsid w:val="003D7E76"/>
    <w:rsid w:val="003E297C"/>
    <w:rsid w:val="003E3AA8"/>
    <w:rsid w:val="003E6FCB"/>
    <w:rsid w:val="003E78ED"/>
    <w:rsid w:val="003F43F4"/>
    <w:rsid w:val="003F5D10"/>
    <w:rsid w:val="004001E0"/>
    <w:rsid w:val="00400EE4"/>
    <w:rsid w:val="004011E0"/>
    <w:rsid w:val="0040219B"/>
    <w:rsid w:val="0040442B"/>
    <w:rsid w:val="00404995"/>
    <w:rsid w:val="00404EFA"/>
    <w:rsid w:val="00406F7F"/>
    <w:rsid w:val="00407689"/>
    <w:rsid w:val="00411729"/>
    <w:rsid w:val="0041242D"/>
    <w:rsid w:val="004159FD"/>
    <w:rsid w:val="0041767B"/>
    <w:rsid w:val="0042191B"/>
    <w:rsid w:val="00422DE4"/>
    <w:rsid w:val="004254FF"/>
    <w:rsid w:val="00427825"/>
    <w:rsid w:val="0043056D"/>
    <w:rsid w:val="00430B62"/>
    <w:rsid w:val="00435B76"/>
    <w:rsid w:val="00437CFB"/>
    <w:rsid w:val="004401F6"/>
    <w:rsid w:val="00441714"/>
    <w:rsid w:val="0044182F"/>
    <w:rsid w:val="00443195"/>
    <w:rsid w:val="004452FF"/>
    <w:rsid w:val="00447A45"/>
    <w:rsid w:val="00450C04"/>
    <w:rsid w:val="00452874"/>
    <w:rsid w:val="00455722"/>
    <w:rsid w:val="00455831"/>
    <w:rsid w:val="00457289"/>
    <w:rsid w:val="00457B44"/>
    <w:rsid w:val="00461DAA"/>
    <w:rsid w:val="004660C5"/>
    <w:rsid w:val="0046710E"/>
    <w:rsid w:val="00471C31"/>
    <w:rsid w:val="00472EA1"/>
    <w:rsid w:val="00474BC1"/>
    <w:rsid w:val="004774A2"/>
    <w:rsid w:val="00477A00"/>
    <w:rsid w:val="004810EA"/>
    <w:rsid w:val="00482414"/>
    <w:rsid w:val="004900F0"/>
    <w:rsid w:val="00490B8D"/>
    <w:rsid w:val="004963C2"/>
    <w:rsid w:val="004A4AB2"/>
    <w:rsid w:val="004A5224"/>
    <w:rsid w:val="004A77F6"/>
    <w:rsid w:val="004A7C52"/>
    <w:rsid w:val="004B1371"/>
    <w:rsid w:val="004B2AF2"/>
    <w:rsid w:val="004B4EF5"/>
    <w:rsid w:val="004B59D6"/>
    <w:rsid w:val="004C1CDE"/>
    <w:rsid w:val="004C27CB"/>
    <w:rsid w:val="004D0AB2"/>
    <w:rsid w:val="004D1266"/>
    <w:rsid w:val="004D2F42"/>
    <w:rsid w:val="004D3351"/>
    <w:rsid w:val="004D3C86"/>
    <w:rsid w:val="004D5645"/>
    <w:rsid w:val="004D61FD"/>
    <w:rsid w:val="004E1BFE"/>
    <w:rsid w:val="004E27C2"/>
    <w:rsid w:val="004E3323"/>
    <w:rsid w:val="004F0890"/>
    <w:rsid w:val="00502002"/>
    <w:rsid w:val="00502086"/>
    <w:rsid w:val="005038E4"/>
    <w:rsid w:val="00504579"/>
    <w:rsid w:val="00505CAE"/>
    <w:rsid w:val="00505EE3"/>
    <w:rsid w:val="00506ED6"/>
    <w:rsid w:val="00507F0F"/>
    <w:rsid w:val="00510CB3"/>
    <w:rsid w:val="00510F99"/>
    <w:rsid w:val="0052034F"/>
    <w:rsid w:val="00522F6C"/>
    <w:rsid w:val="00524203"/>
    <w:rsid w:val="00524E4D"/>
    <w:rsid w:val="00527EAC"/>
    <w:rsid w:val="00531C86"/>
    <w:rsid w:val="005355A7"/>
    <w:rsid w:val="00537BDB"/>
    <w:rsid w:val="0054084A"/>
    <w:rsid w:val="00556160"/>
    <w:rsid w:val="00560586"/>
    <w:rsid w:val="005624B1"/>
    <w:rsid w:val="00562E7E"/>
    <w:rsid w:val="0056346A"/>
    <w:rsid w:val="00563ECA"/>
    <w:rsid w:val="005659B1"/>
    <w:rsid w:val="00570F66"/>
    <w:rsid w:val="00577CD6"/>
    <w:rsid w:val="00580543"/>
    <w:rsid w:val="00580E2F"/>
    <w:rsid w:val="00582117"/>
    <w:rsid w:val="005857B5"/>
    <w:rsid w:val="00592684"/>
    <w:rsid w:val="00593DFB"/>
    <w:rsid w:val="005949CF"/>
    <w:rsid w:val="00595B56"/>
    <w:rsid w:val="005A00C6"/>
    <w:rsid w:val="005A1A5D"/>
    <w:rsid w:val="005A1F35"/>
    <w:rsid w:val="005A5793"/>
    <w:rsid w:val="005A6284"/>
    <w:rsid w:val="005A65B2"/>
    <w:rsid w:val="005B1169"/>
    <w:rsid w:val="005B6B13"/>
    <w:rsid w:val="005C0538"/>
    <w:rsid w:val="005C39E8"/>
    <w:rsid w:val="005C623D"/>
    <w:rsid w:val="005C6965"/>
    <w:rsid w:val="005D2C4C"/>
    <w:rsid w:val="005D4ED9"/>
    <w:rsid w:val="005D5D74"/>
    <w:rsid w:val="005E099A"/>
    <w:rsid w:val="005E162B"/>
    <w:rsid w:val="005E1A11"/>
    <w:rsid w:val="005E2101"/>
    <w:rsid w:val="005E5209"/>
    <w:rsid w:val="005F05DA"/>
    <w:rsid w:val="005F0724"/>
    <w:rsid w:val="005F61BB"/>
    <w:rsid w:val="005F6E9D"/>
    <w:rsid w:val="005F7300"/>
    <w:rsid w:val="005F7CFB"/>
    <w:rsid w:val="0060158F"/>
    <w:rsid w:val="00601F47"/>
    <w:rsid w:val="006033A4"/>
    <w:rsid w:val="00605849"/>
    <w:rsid w:val="0060627A"/>
    <w:rsid w:val="006063B6"/>
    <w:rsid w:val="00606CC4"/>
    <w:rsid w:val="00607035"/>
    <w:rsid w:val="0060709B"/>
    <w:rsid w:val="00610C9D"/>
    <w:rsid w:val="0061195D"/>
    <w:rsid w:val="00611A70"/>
    <w:rsid w:val="00612632"/>
    <w:rsid w:val="00614FDF"/>
    <w:rsid w:val="0061619E"/>
    <w:rsid w:val="00626849"/>
    <w:rsid w:val="0063002E"/>
    <w:rsid w:val="00630194"/>
    <w:rsid w:val="006301A1"/>
    <w:rsid w:val="006305F4"/>
    <w:rsid w:val="00643AEF"/>
    <w:rsid w:val="0064408C"/>
    <w:rsid w:val="006475B4"/>
    <w:rsid w:val="00650265"/>
    <w:rsid w:val="00651F9E"/>
    <w:rsid w:val="006543F9"/>
    <w:rsid w:val="00654EA8"/>
    <w:rsid w:val="006554F5"/>
    <w:rsid w:val="00660042"/>
    <w:rsid w:val="00662002"/>
    <w:rsid w:val="0066229C"/>
    <w:rsid w:val="0067304D"/>
    <w:rsid w:val="00673A93"/>
    <w:rsid w:val="00675722"/>
    <w:rsid w:val="0067615F"/>
    <w:rsid w:val="006804ED"/>
    <w:rsid w:val="00682A97"/>
    <w:rsid w:val="00685D6B"/>
    <w:rsid w:val="00686EDA"/>
    <w:rsid w:val="00690C1F"/>
    <w:rsid w:val="00691133"/>
    <w:rsid w:val="00692626"/>
    <w:rsid w:val="006942F5"/>
    <w:rsid w:val="00694A69"/>
    <w:rsid w:val="006A4161"/>
    <w:rsid w:val="006A6081"/>
    <w:rsid w:val="006A7AAE"/>
    <w:rsid w:val="006B2F5E"/>
    <w:rsid w:val="006B5445"/>
    <w:rsid w:val="006B564B"/>
    <w:rsid w:val="006C02EB"/>
    <w:rsid w:val="006C1673"/>
    <w:rsid w:val="006C4F95"/>
    <w:rsid w:val="006D6AB3"/>
    <w:rsid w:val="006D7582"/>
    <w:rsid w:val="006D78A3"/>
    <w:rsid w:val="006E49CB"/>
    <w:rsid w:val="006E5630"/>
    <w:rsid w:val="006F0000"/>
    <w:rsid w:val="006F1D5B"/>
    <w:rsid w:val="006F201C"/>
    <w:rsid w:val="006F7137"/>
    <w:rsid w:val="00701CB7"/>
    <w:rsid w:val="007029B6"/>
    <w:rsid w:val="00703569"/>
    <w:rsid w:val="00703C08"/>
    <w:rsid w:val="007052F7"/>
    <w:rsid w:val="0070551E"/>
    <w:rsid w:val="00706B89"/>
    <w:rsid w:val="00710F68"/>
    <w:rsid w:val="007136AB"/>
    <w:rsid w:val="00720E57"/>
    <w:rsid w:val="00723D47"/>
    <w:rsid w:val="00724838"/>
    <w:rsid w:val="007315C0"/>
    <w:rsid w:val="007416FD"/>
    <w:rsid w:val="007447E6"/>
    <w:rsid w:val="00745823"/>
    <w:rsid w:val="007461E6"/>
    <w:rsid w:val="0074759C"/>
    <w:rsid w:val="007475DD"/>
    <w:rsid w:val="00756DE7"/>
    <w:rsid w:val="00760578"/>
    <w:rsid w:val="007615BC"/>
    <w:rsid w:val="00766ABF"/>
    <w:rsid w:val="007702B2"/>
    <w:rsid w:val="00770766"/>
    <w:rsid w:val="00770A0C"/>
    <w:rsid w:val="00772161"/>
    <w:rsid w:val="007735D0"/>
    <w:rsid w:val="00775521"/>
    <w:rsid w:val="0078077D"/>
    <w:rsid w:val="0079037F"/>
    <w:rsid w:val="00790D56"/>
    <w:rsid w:val="007916BF"/>
    <w:rsid w:val="00791E5C"/>
    <w:rsid w:val="00792BC5"/>
    <w:rsid w:val="00795B65"/>
    <w:rsid w:val="007975AA"/>
    <w:rsid w:val="007B3C2D"/>
    <w:rsid w:val="007B55C9"/>
    <w:rsid w:val="007B6030"/>
    <w:rsid w:val="007C0C4F"/>
    <w:rsid w:val="007C5FE9"/>
    <w:rsid w:val="007C633D"/>
    <w:rsid w:val="007C6FC5"/>
    <w:rsid w:val="007D3E67"/>
    <w:rsid w:val="007D48E7"/>
    <w:rsid w:val="007D6D16"/>
    <w:rsid w:val="007D7F42"/>
    <w:rsid w:val="007E0362"/>
    <w:rsid w:val="007E2184"/>
    <w:rsid w:val="007F01C9"/>
    <w:rsid w:val="007F5AA7"/>
    <w:rsid w:val="008020F5"/>
    <w:rsid w:val="00803FB5"/>
    <w:rsid w:val="00804A96"/>
    <w:rsid w:val="0080583C"/>
    <w:rsid w:val="00810033"/>
    <w:rsid w:val="00814859"/>
    <w:rsid w:val="0081579A"/>
    <w:rsid w:val="008172B9"/>
    <w:rsid w:val="008210B2"/>
    <w:rsid w:val="00823988"/>
    <w:rsid w:val="00826ECB"/>
    <w:rsid w:val="00832C70"/>
    <w:rsid w:val="00833088"/>
    <w:rsid w:val="008365A2"/>
    <w:rsid w:val="0084387A"/>
    <w:rsid w:val="00844034"/>
    <w:rsid w:val="00847B67"/>
    <w:rsid w:val="00850F21"/>
    <w:rsid w:val="00852211"/>
    <w:rsid w:val="0085358F"/>
    <w:rsid w:val="00854385"/>
    <w:rsid w:val="00855E77"/>
    <w:rsid w:val="00856D0F"/>
    <w:rsid w:val="008570CB"/>
    <w:rsid w:val="00873501"/>
    <w:rsid w:val="0087549F"/>
    <w:rsid w:val="00876262"/>
    <w:rsid w:val="00895751"/>
    <w:rsid w:val="008A2A50"/>
    <w:rsid w:val="008A2D6F"/>
    <w:rsid w:val="008A3B10"/>
    <w:rsid w:val="008A535A"/>
    <w:rsid w:val="008A6A58"/>
    <w:rsid w:val="008A72FE"/>
    <w:rsid w:val="008B74C0"/>
    <w:rsid w:val="008C0025"/>
    <w:rsid w:val="008C1656"/>
    <w:rsid w:val="008C56EB"/>
    <w:rsid w:val="008C5835"/>
    <w:rsid w:val="008D102F"/>
    <w:rsid w:val="008D1F07"/>
    <w:rsid w:val="008D2D02"/>
    <w:rsid w:val="008D551C"/>
    <w:rsid w:val="008E03DC"/>
    <w:rsid w:val="008E0E91"/>
    <w:rsid w:val="008E20B1"/>
    <w:rsid w:val="008E227A"/>
    <w:rsid w:val="008E395B"/>
    <w:rsid w:val="008E701C"/>
    <w:rsid w:val="008E7262"/>
    <w:rsid w:val="008F64BE"/>
    <w:rsid w:val="00903331"/>
    <w:rsid w:val="00905D33"/>
    <w:rsid w:val="0090607A"/>
    <w:rsid w:val="009067ED"/>
    <w:rsid w:val="009101B9"/>
    <w:rsid w:val="0091439E"/>
    <w:rsid w:val="00915FC3"/>
    <w:rsid w:val="009166DD"/>
    <w:rsid w:val="00917B65"/>
    <w:rsid w:val="00920091"/>
    <w:rsid w:val="00920B39"/>
    <w:rsid w:val="00922E49"/>
    <w:rsid w:val="00923257"/>
    <w:rsid w:val="00923746"/>
    <w:rsid w:val="00923AC0"/>
    <w:rsid w:val="00923FF5"/>
    <w:rsid w:val="00924D28"/>
    <w:rsid w:val="00925318"/>
    <w:rsid w:val="00926285"/>
    <w:rsid w:val="00930146"/>
    <w:rsid w:val="009308E7"/>
    <w:rsid w:val="0093094C"/>
    <w:rsid w:val="00930BA1"/>
    <w:rsid w:val="00931C80"/>
    <w:rsid w:val="00932DBF"/>
    <w:rsid w:val="009349B8"/>
    <w:rsid w:val="009365FD"/>
    <w:rsid w:val="00940847"/>
    <w:rsid w:val="00941526"/>
    <w:rsid w:val="00943CF8"/>
    <w:rsid w:val="0094410E"/>
    <w:rsid w:val="0095183B"/>
    <w:rsid w:val="00951F85"/>
    <w:rsid w:val="009565E4"/>
    <w:rsid w:val="00963BAE"/>
    <w:rsid w:val="0096669E"/>
    <w:rsid w:val="0097125E"/>
    <w:rsid w:val="00973095"/>
    <w:rsid w:val="009763C4"/>
    <w:rsid w:val="009774DD"/>
    <w:rsid w:val="009777F1"/>
    <w:rsid w:val="0099055C"/>
    <w:rsid w:val="00992750"/>
    <w:rsid w:val="009928AC"/>
    <w:rsid w:val="00992A36"/>
    <w:rsid w:val="00993D2A"/>
    <w:rsid w:val="0099426C"/>
    <w:rsid w:val="00996326"/>
    <w:rsid w:val="00997402"/>
    <w:rsid w:val="009A2613"/>
    <w:rsid w:val="009A38DA"/>
    <w:rsid w:val="009A3CE1"/>
    <w:rsid w:val="009A58D0"/>
    <w:rsid w:val="009A5CAB"/>
    <w:rsid w:val="009A7105"/>
    <w:rsid w:val="009B7298"/>
    <w:rsid w:val="009B79C5"/>
    <w:rsid w:val="009C0057"/>
    <w:rsid w:val="009C4CD1"/>
    <w:rsid w:val="009C763F"/>
    <w:rsid w:val="009C7F17"/>
    <w:rsid w:val="009D2D41"/>
    <w:rsid w:val="009D34BF"/>
    <w:rsid w:val="009E029E"/>
    <w:rsid w:val="009E7353"/>
    <w:rsid w:val="009F0646"/>
    <w:rsid w:val="009F44A1"/>
    <w:rsid w:val="009F5342"/>
    <w:rsid w:val="009F5658"/>
    <w:rsid w:val="00A01BF5"/>
    <w:rsid w:val="00A04F9B"/>
    <w:rsid w:val="00A12521"/>
    <w:rsid w:val="00A1784D"/>
    <w:rsid w:val="00A2171C"/>
    <w:rsid w:val="00A21E29"/>
    <w:rsid w:val="00A2495E"/>
    <w:rsid w:val="00A33E45"/>
    <w:rsid w:val="00A365F8"/>
    <w:rsid w:val="00A37AD1"/>
    <w:rsid w:val="00A37CA3"/>
    <w:rsid w:val="00A41D4D"/>
    <w:rsid w:val="00A437DC"/>
    <w:rsid w:val="00A44835"/>
    <w:rsid w:val="00A4783E"/>
    <w:rsid w:val="00A51824"/>
    <w:rsid w:val="00A53821"/>
    <w:rsid w:val="00A569AA"/>
    <w:rsid w:val="00A646E0"/>
    <w:rsid w:val="00A67051"/>
    <w:rsid w:val="00A70219"/>
    <w:rsid w:val="00A704FF"/>
    <w:rsid w:val="00A7263B"/>
    <w:rsid w:val="00A77D3C"/>
    <w:rsid w:val="00A77F27"/>
    <w:rsid w:val="00A8076E"/>
    <w:rsid w:val="00A8148C"/>
    <w:rsid w:val="00A841F0"/>
    <w:rsid w:val="00A8442B"/>
    <w:rsid w:val="00A85904"/>
    <w:rsid w:val="00A85A63"/>
    <w:rsid w:val="00A85CC1"/>
    <w:rsid w:val="00A94D54"/>
    <w:rsid w:val="00AA1FEB"/>
    <w:rsid w:val="00AA2F5B"/>
    <w:rsid w:val="00AA4618"/>
    <w:rsid w:val="00AA5C9D"/>
    <w:rsid w:val="00AB1EDC"/>
    <w:rsid w:val="00AB24F7"/>
    <w:rsid w:val="00AB72AA"/>
    <w:rsid w:val="00AB7D58"/>
    <w:rsid w:val="00AC015C"/>
    <w:rsid w:val="00AC041A"/>
    <w:rsid w:val="00AC0658"/>
    <w:rsid w:val="00AC216A"/>
    <w:rsid w:val="00AC2251"/>
    <w:rsid w:val="00AC4607"/>
    <w:rsid w:val="00AC61A7"/>
    <w:rsid w:val="00AD4AD0"/>
    <w:rsid w:val="00AE6FC0"/>
    <w:rsid w:val="00AE7411"/>
    <w:rsid w:val="00AF0BC3"/>
    <w:rsid w:val="00AF3CB1"/>
    <w:rsid w:val="00AF6A4A"/>
    <w:rsid w:val="00B04718"/>
    <w:rsid w:val="00B10F32"/>
    <w:rsid w:val="00B15AE1"/>
    <w:rsid w:val="00B17654"/>
    <w:rsid w:val="00B20833"/>
    <w:rsid w:val="00B228B5"/>
    <w:rsid w:val="00B24F6A"/>
    <w:rsid w:val="00B271F9"/>
    <w:rsid w:val="00B3184C"/>
    <w:rsid w:val="00B322EE"/>
    <w:rsid w:val="00B43C6A"/>
    <w:rsid w:val="00B4459F"/>
    <w:rsid w:val="00B455B7"/>
    <w:rsid w:val="00B46BED"/>
    <w:rsid w:val="00B5074A"/>
    <w:rsid w:val="00B53902"/>
    <w:rsid w:val="00B53E8E"/>
    <w:rsid w:val="00B54F35"/>
    <w:rsid w:val="00B5603A"/>
    <w:rsid w:val="00B5699F"/>
    <w:rsid w:val="00B61EAB"/>
    <w:rsid w:val="00B65728"/>
    <w:rsid w:val="00B65CC0"/>
    <w:rsid w:val="00B65D29"/>
    <w:rsid w:val="00B673F1"/>
    <w:rsid w:val="00B67F1D"/>
    <w:rsid w:val="00B70E6E"/>
    <w:rsid w:val="00B7567F"/>
    <w:rsid w:val="00B75E75"/>
    <w:rsid w:val="00B777C9"/>
    <w:rsid w:val="00B8136F"/>
    <w:rsid w:val="00B81696"/>
    <w:rsid w:val="00B83EC3"/>
    <w:rsid w:val="00B84ACE"/>
    <w:rsid w:val="00B93FBA"/>
    <w:rsid w:val="00B94C4F"/>
    <w:rsid w:val="00BA2379"/>
    <w:rsid w:val="00BA2947"/>
    <w:rsid w:val="00BA3F56"/>
    <w:rsid w:val="00BB31C7"/>
    <w:rsid w:val="00BB5D7D"/>
    <w:rsid w:val="00BB6193"/>
    <w:rsid w:val="00BB626C"/>
    <w:rsid w:val="00BB756F"/>
    <w:rsid w:val="00BC0B57"/>
    <w:rsid w:val="00BC7475"/>
    <w:rsid w:val="00BD4876"/>
    <w:rsid w:val="00BD5FEF"/>
    <w:rsid w:val="00BE24B0"/>
    <w:rsid w:val="00BE39A1"/>
    <w:rsid w:val="00BE651B"/>
    <w:rsid w:val="00BE6537"/>
    <w:rsid w:val="00BF27A3"/>
    <w:rsid w:val="00BF439F"/>
    <w:rsid w:val="00BF5254"/>
    <w:rsid w:val="00BF7FF3"/>
    <w:rsid w:val="00C04BBC"/>
    <w:rsid w:val="00C04C52"/>
    <w:rsid w:val="00C052DC"/>
    <w:rsid w:val="00C05C47"/>
    <w:rsid w:val="00C15752"/>
    <w:rsid w:val="00C27D58"/>
    <w:rsid w:val="00C31213"/>
    <w:rsid w:val="00C32C4B"/>
    <w:rsid w:val="00C341A3"/>
    <w:rsid w:val="00C36E00"/>
    <w:rsid w:val="00C37910"/>
    <w:rsid w:val="00C4196C"/>
    <w:rsid w:val="00C41F49"/>
    <w:rsid w:val="00C43324"/>
    <w:rsid w:val="00C54654"/>
    <w:rsid w:val="00C6429C"/>
    <w:rsid w:val="00C7038A"/>
    <w:rsid w:val="00C708AB"/>
    <w:rsid w:val="00C7357E"/>
    <w:rsid w:val="00C74246"/>
    <w:rsid w:val="00C77BDC"/>
    <w:rsid w:val="00C808DD"/>
    <w:rsid w:val="00C80C5A"/>
    <w:rsid w:val="00C82284"/>
    <w:rsid w:val="00C836F3"/>
    <w:rsid w:val="00C83793"/>
    <w:rsid w:val="00C840A6"/>
    <w:rsid w:val="00C876BD"/>
    <w:rsid w:val="00C91A69"/>
    <w:rsid w:val="00C922F9"/>
    <w:rsid w:val="00C92A16"/>
    <w:rsid w:val="00C9544E"/>
    <w:rsid w:val="00CA731C"/>
    <w:rsid w:val="00CA7D07"/>
    <w:rsid w:val="00CB0C1F"/>
    <w:rsid w:val="00CB4B2A"/>
    <w:rsid w:val="00CB71BB"/>
    <w:rsid w:val="00CB7CCA"/>
    <w:rsid w:val="00CC0CE9"/>
    <w:rsid w:val="00CC3D24"/>
    <w:rsid w:val="00CC56F4"/>
    <w:rsid w:val="00CD109A"/>
    <w:rsid w:val="00CD140B"/>
    <w:rsid w:val="00CD373F"/>
    <w:rsid w:val="00CD5638"/>
    <w:rsid w:val="00CD7BF1"/>
    <w:rsid w:val="00CE0DB2"/>
    <w:rsid w:val="00CE5A36"/>
    <w:rsid w:val="00CE7583"/>
    <w:rsid w:val="00CF1839"/>
    <w:rsid w:val="00CF238B"/>
    <w:rsid w:val="00CF4B47"/>
    <w:rsid w:val="00CF4C28"/>
    <w:rsid w:val="00CF5DB2"/>
    <w:rsid w:val="00CF5DC8"/>
    <w:rsid w:val="00CF62BB"/>
    <w:rsid w:val="00CF6447"/>
    <w:rsid w:val="00D01ABA"/>
    <w:rsid w:val="00D02CBF"/>
    <w:rsid w:val="00D03611"/>
    <w:rsid w:val="00D05BB0"/>
    <w:rsid w:val="00D07E37"/>
    <w:rsid w:val="00D10167"/>
    <w:rsid w:val="00D11B27"/>
    <w:rsid w:val="00D128A1"/>
    <w:rsid w:val="00D12979"/>
    <w:rsid w:val="00D145D8"/>
    <w:rsid w:val="00D16306"/>
    <w:rsid w:val="00D16D9A"/>
    <w:rsid w:val="00D21B07"/>
    <w:rsid w:val="00D26338"/>
    <w:rsid w:val="00D266A1"/>
    <w:rsid w:val="00D302C6"/>
    <w:rsid w:val="00D312AE"/>
    <w:rsid w:val="00D31FA5"/>
    <w:rsid w:val="00D324E8"/>
    <w:rsid w:val="00D339E3"/>
    <w:rsid w:val="00D33A61"/>
    <w:rsid w:val="00D33A99"/>
    <w:rsid w:val="00D442BE"/>
    <w:rsid w:val="00D479A9"/>
    <w:rsid w:val="00D47F4F"/>
    <w:rsid w:val="00D52111"/>
    <w:rsid w:val="00D5320C"/>
    <w:rsid w:val="00D54CA9"/>
    <w:rsid w:val="00D55A3E"/>
    <w:rsid w:val="00D56947"/>
    <w:rsid w:val="00D60331"/>
    <w:rsid w:val="00D63B7B"/>
    <w:rsid w:val="00D664F0"/>
    <w:rsid w:val="00D667C8"/>
    <w:rsid w:val="00D726AE"/>
    <w:rsid w:val="00D76A62"/>
    <w:rsid w:val="00D77056"/>
    <w:rsid w:val="00D837AD"/>
    <w:rsid w:val="00D83920"/>
    <w:rsid w:val="00D9196B"/>
    <w:rsid w:val="00D92C4E"/>
    <w:rsid w:val="00D93223"/>
    <w:rsid w:val="00D93D5A"/>
    <w:rsid w:val="00DA2918"/>
    <w:rsid w:val="00DA3358"/>
    <w:rsid w:val="00DA4124"/>
    <w:rsid w:val="00DA49B0"/>
    <w:rsid w:val="00DA5709"/>
    <w:rsid w:val="00DB0B6E"/>
    <w:rsid w:val="00DB3928"/>
    <w:rsid w:val="00DC14E7"/>
    <w:rsid w:val="00DC3872"/>
    <w:rsid w:val="00DC4F06"/>
    <w:rsid w:val="00DD0147"/>
    <w:rsid w:val="00DD0B2F"/>
    <w:rsid w:val="00DD1B75"/>
    <w:rsid w:val="00DD1D6E"/>
    <w:rsid w:val="00DD618A"/>
    <w:rsid w:val="00DE29D8"/>
    <w:rsid w:val="00DE6DFE"/>
    <w:rsid w:val="00DE7370"/>
    <w:rsid w:val="00DF1FC7"/>
    <w:rsid w:val="00DF74A1"/>
    <w:rsid w:val="00E0093E"/>
    <w:rsid w:val="00E02908"/>
    <w:rsid w:val="00E1174C"/>
    <w:rsid w:val="00E1199F"/>
    <w:rsid w:val="00E11CC6"/>
    <w:rsid w:val="00E153EA"/>
    <w:rsid w:val="00E251EE"/>
    <w:rsid w:val="00E2733B"/>
    <w:rsid w:val="00E27A63"/>
    <w:rsid w:val="00E41000"/>
    <w:rsid w:val="00E44B0C"/>
    <w:rsid w:val="00E47A69"/>
    <w:rsid w:val="00E500E8"/>
    <w:rsid w:val="00E53879"/>
    <w:rsid w:val="00E53A24"/>
    <w:rsid w:val="00E5710D"/>
    <w:rsid w:val="00E57ED9"/>
    <w:rsid w:val="00E60FB2"/>
    <w:rsid w:val="00E616E8"/>
    <w:rsid w:val="00E61D28"/>
    <w:rsid w:val="00E64C8D"/>
    <w:rsid w:val="00E66107"/>
    <w:rsid w:val="00E700D4"/>
    <w:rsid w:val="00E73164"/>
    <w:rsid w:val="00E7482E"/>
    <w:rsid w:val="00E76492"/>
    <w:rsid w:val="00E8049B"/>
    <w:rsid w:val="00E838CC"/>
    <w:rsid w:val="00E8788D"/>
    <w:rsid w:val="00E91B6B"/>
    <w:rsid w:val="00E92311"/>
    <w:rsid w:val="00E96EE6"/>
    <w:rsid w:val="00E975C5"/>
    <w:rsid w:val="00EA1593"/>
    <w:rsid w:val="00EA57A9"/>
    <w:rsid w:val="00EB2C24"/>
    <w:rsid w:val="00EB7162"/>
    <w:rsid w:val="00EC1863"/>
    <w:rsid w:val="00EC4B65"/>
    <w:rsid w:val="00EC5065"/>
    <w:rsid w:val="00EC50A0"/>
    <w:rsid w:val="00EC70EE"/>
    <w:rsid w:val="00ED2176"/>
    <w:rsid w:val="00ED4824"/>
    <w:rsid w:val="00ED52C8"/>
    <w:rsid w:val="00ED59EF"/>
    <w:rsid w:val="00EE0DBA"/>
    <w:rsid w:val="00EF1330"/>
    <w:rsid w:val="00EF4651"/>
    <w:rsid w:val="00EF57DA"/>
    <w:rsid w:val="00EF6019"/>
    <w:rsid w:val="00EF61F8"/>
    <w:rsid w:val="00F03922"/>
    <w:rsid w:val="00F073F8"/>
    <w:rsid w:val="00F14C35"/>
    <w:rsid w:val="00F15BC1"/>
    <w:rsid w:val="00F20F7D"/>
    <w:rsid w:val="00F20FCA"/>
    <w:rsid w:val="00F270F3"/>
    <w:rsid w:val="00F273A6"/>
    <w:rsid w:val="00F3467A"/>
    <w:rsid w:val="00F35684"/>
    <w:rsid w:val="00F369C2"/>
    <w:rsid w:val="00F36F84"/>
    <w:rsid w:val="00F372DD"/>
    <w:rsid w:val="00F41C07"/>
    <w:rsid w:val="00F42136"/>
    <w:rsid w:val="00F42567"/>
    <w:rsid w:val="00F45B81"/>
    <w:rsid w:val="00F55622"/>
    <w:rsid w:val="00F55A0A"/>
    <w:rsid w:val="00F606E5"/>
    <w:rsid w:val="00F61438"/>
    <w:rsid w:val="00F63AB1"/>
    <w:rsid w:val="00F646E4"/>
    <w:rsid w:val="00F65E38"/>
    <w:rsid w:val="00F7131F"/>
    <w:rsid w:val="00F76F23"/>
    <w:rsid w:val="00F871B0"/>
    <w:rsid w:val="00F8738C"/>
    <w:rsid w:val="00F91CFE"/>
    <w:rsid w:val="00F92FD8"/>
    <w:rsid w:val="00F93AEE"/>
    <w:rsid w:val="00F96E9B"/>
    <w:rsid w:val="00F975E7"/>
    <w:rsid w:val="00FA114E"/>
    <w:rsid w:val="00FA3073"/>
    <w:rsid w:val="00FA4807"/>
    <w:rsid w:val="00FA50CA"/>
    <w:rsid w:val="00FA5A4A"/>
    <w:rsid w:val="00FB2044"/>
    <w:rsid w:val="00FC2B56"/>
    <w:rsid w:val="00FC4A16"/>
    <w:rsid w:val="00FC52AD"/>
    <w:rsid w:val="00FC5F06"/>
    <w:rsid w:val="00FD3454"/>
    <w:rsid w:val="00FD4C80"/>
    <w:rsid w:val="00FD64E3"/>
    <w:rsid w:val="00FD67EE"/>
    <w:rsid w:val="00FD6E75"/>
    <w:rsid w:val="00FD7349"/>
    <w:rsid w:val="00FD7511"/>
    <w:rsid w:val="00FD76F0"/>
    <w:rsid w:val="00FE06C7"/>
    <w:rsid w:val="00FE2E29"/>
    <w:rsid w:val="00FE345A"/>
    <w:rsid w:val="00FE702A"/>
    <w:rsid w:val="00FF3369"/>
    <w:rsid w:val="00FF389C"/>
    <w:rsid w:val="00FF5FCB"/>
    <w:rsid w:val="00FF68AF"/>
    <w:rsid w:val="048B7990"/>
    <w:rsid w:val="148F6FC4"/>
    <w:rsid w:val="29626662"/>
    <w:rsid w:val="2DA52FC1"/>
    <w:rsid w:val="373D070E"/>
    <w:rsid w:val="3CB202D8"/>
    <w:rsid w:val="42567588"/>
    <w:rsid w:val="4A37282C"/>
    <w:rsid w:val="52B07B8F"/>
    <w:rsid w:val="5D973E25"/>
    <w:rsid w:val="68DA50FF"/>
    <w:rsid w:val="6B7A6DC8"/>
    <w:rsid w:val="73EA3062"/>
    <w:rsid w:val="74C07CAE"/>
    <w:rsid w:val="7B1B79EC"/>
    <w:rsid w:val="7CB974BC"/>
    <w:rsid w:val="7D8C7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47"/>
    <w:semiHidden/>
    <w:unhideWhenUsed/>
    <w:uiPriority w:val="99"/>
    <w:pPr>
      <w:jc w:val="left"/>
    </w:pPr>
  </w:style>
  <w:style w:type="paragraph" w:styleId="4">
    <w:name w:val="toc 3"/>
    <w:basedOn w:val="1"/>
    <w:next w:val="1"/>
    <w:autoRedefine/>
    <w:unhideWhenUsed/>
    <w:uiPriority w:val="39"/>
    <w:pPr>
      <w:ind w:left="840" w:leftChars="400"/>
    </w:pPr>
  </w:style>
  <w:style w:type="paragraph" w:styleId="5">
    <w:name w:val="Date"/>
    <w:basedOn w:val="1"/>
    <w:next w:val="1"/>
    <w:link w:val="44"/>
    <w:semiHidden/>
    <w:unhideWhenUsed/>
    <w:qFormat/>
    <w:uiPriority w:val="99"/>
    <w:pPr>
      <w:ind w:left="100" w:leftChars="2500"/>
    </w:pPr>
  </w:style>
  <w:style w:type="paragraph" w:styleId="6">
    <w:name w:val="Balloon Text"/>
    <w:basedOn w:val="1"/>
    <w:link w:val="45"/>
    <w:semiHidden/>
    <w:unhideWhenUsed/>
    <w:qFormat/>
    <w:uiPriority w:val="99"/>
    <w:rPr>
      <w:sz w:val="18"/>
      <w:szCs w:val="18"/>
    </w:rPr>
  </w:style>
  <w:style w:type="paragraph" w:styleId="7">
    <w:name w:val="footer"/>
    <w:basedOn w:val="1"/>
    <w:link w:val="43"/>
    <w:unhideWhenUsed/>
    <w:uiPriority w:val="99"/>
    <w:pPr>
      <w:tabs>
        <w:tab w:val="center" w:pos="4153"/>
        <w:tab w:val="right" w:pos="8306"/>
      </w:tabs>
      <w:snapToGrid w:val="0"/>
      <w:jc w:val="left"/>
    </w:pPr>
    <w:rPr>
      <w:sz w:val="18"/>
      <w:szCs w:val="18"/>
    </w:rPr>
  </w:style>
  <w:style w:type="paragraph" w:styleId="8">
    <w:name w:val="header"/>
    <w:basedOn w:val="1"/>
    <w:link w:val="42"/>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uiPriority w:val="39"/>
    <w:pPr>
      <w:tabs>
        <w:tab w:val="right" w:leader="dot" w:pos="8834"/>
      </w:tabs>
      <w:spacing w:line="560" w:lineRule="exact"/>
    </w:pPr>
    <w:rPr>
      <w:rFonts w:ascii="Times New Roman" w:hAnsi="Times New Roman" w:eastAsia="仿宋_GB2312" w:cs="Times New Roman"/>
      <w:b/>
      <w:sz w:val="28"/>
      <w:szCs w:val="28"/>
    </w:rPr>
  </w:style>
  <w:style w:type="paragraph" w:styleId="10">
    <w:name w:val="footnote text"/>
    <w:basedOn w:val="1"/>
    <w:link w:val="51"/>
    <w:semiHidden/>
    <w:unhideWhenUsed/>
    <w:uiPriority w:val="99"/>
    <w:pPr>
      <w:snapToGrid w:val="0"/>
      <w:jc w:val="left"/>
    </w:pPr>
    <w:rPr>
      <w:sz w:val="18"/>
      <w:szCs w:val="18"/>
    </w:rPr>
  </w:style>
  <w:style w:type="paragraph" w:styleId="11">
    <w:name w:val="toc 2"/>
    <w:basedOn w:val="1"/>
    <w:next w:val="1"/>
    <w:autoRedefine/>
    <w:unhideWhenUsed/>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annotation subject"/>
    <w:basedOn w:val="3"/>
    <w:next w:val="3"/>
    <w:link w:val="48"/>
    <w:semiHidden/>
    <w:unhideWhenUsed/>
    <w:qFormat/>
    <w:uiPriority w:val="99"/>
    <w:rPr>
      <w:b/>
      <w:bCs/>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20"/>
    <w:rPr>
      <w:i/>
      <w:iCs/>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character" w:styleId="20">
    <w:name w:val="footnote reference"/>
    <w:basedOn w:val="16"/>
    <w:semiHidden/>
    <w:unhideWhenUsed/>
    <w:qFormat/>
    <w:uiPriority w:val="99"/>
    <w:rPr>
      <w:vertAlign w:val="superscript"/>
    </w:rPr>
  </w:style>
  <w:style w:type="character" w:customStyle="1" w:styleId="21">
    <w:name w:val="标题 1 Char"/>
    <w:basedOn w:val="16"/>
    <w:link w:val="2"/>
    <w:qFormat/>
    <w:uiPriority w:val="9"/>
    <w:rPr>
      <w:b/>
      <w:bCs/>
      <w:kern w:val="44"/>
      <w:sz w:val="44"/>
      <w:szCs w:val="44"/>
    </w:rPr>
  </w:style>
  <w:style w:type="paragraph" w:customStyle="1" w:styleId="22">
    <w:name w:val="DD正文"/>
    <w:basedOn w:val="1"/>
    <w:link w:val="23"/>
    <w:qFormat/>
    <w:uiPriority w:val="0"/>
    <w:pPr>
      <w:spacing w:line="560" w:lineRule="exact"/>
      <w:ind w:firstLine="200" w:firstLineChars="200"/>
    </w:pPr>
    <w:rPr>
      <w:rFonts w:ascii="Times New Roman" w:hAnsi="Times New Roman" w:eastAsia="仿宋_GB2312"/>
      <w:bCs/>
      <w:sz w:val="32"/>
      <w:szCs w:val="32"/>
      <w:shd w:val="clear" w:color="auto" w:fill="FFFFFF"/>
    </w:rPr>
  </w:style>
  <w:style w:type="character" w:customStyle="1" w:styleId="23">
    <w:name w:val="DD正文 Char"/>
    <w:basedOn w:val="16"/>
    <w:link w:val="22"/>
    <w:qFormat/>
    <w:uiPriority w:val="0"/>
    <w:rPr>
      <w:rFonts w:ascii="Times New Roman" w:hAnsi="Times New Roman" w:eastAsia="仿宋_GB2312"/>
      <w:bCs/>
      <w:sz w:val="32"/>
      <w:szCs w:val="32"/>
    </w:rPr>
  </w:style>
  <w:style w:type="paragraph" w:customStyle="1" w:styleId="24">
    <w:name w:val="DD专栏"/>
    <w:basedOn w:val="22"/>
    <w:link w:val="25"/>
    <w:qFormat/>
    <w:uiPriority w:val="0"/>
    <w:pPr>
      <w:pBdr>
        <w:top w:val="single" w:color="auto" w:sz="4" w:space="1"/>
        <w:left w:val="single" w:color="auto" w:sz="4" w:space="4"/>
        <w:bottom w:val="single" w:color="auto" w:sz="4" w:space="1"/>
        <w:right w:val="single" w:color="auto" w:sz="4" w:space="4"/>
      </w:pBdr>
      <w:spacing w:line="360" w:lineRule="exact"/>
    </w:pPr>
    <w:rPr>
      <w:rFonts w:eastAsia="楷体_GB2312"/>
      <w:sz w:val="28"/>
    </w:rPr>
  </w:style>
  <w:style w:type="character" w:customStyle="1" w:styleId="25">
    <w:name w:val="DD专栏 Char"/>
    <w:basedOn w:val="23"/>
    <w:link w:val="24"/>
    <w:qFormat/>
    <w:uiPriority w:val="0"/>
    <w:rPr>
      <w:rFonts w:ascii="Times New Roman" w:hAnsi="Times New Roman" w:eastAsia="楷体_GB2312"/>
      <w:color w:val="333333"/>
      <w:sz w:val="28"/>
      <w:szCs w:val="32"/>
    </w:rPr>
  </w:style>
  <w:style w:type="paragraph" w:customStyle="1" w:styleId="26">
    <w:name w:val="DD标题1"/>
    <w:basedOn w:val="22"/>
    <w:next w:val="22"/>
    <w:link w:val="27"/>
    <w:qFormat/>
    <w:uiPriority w:val="0"/>
    <w:pPr>
      <w:adjustRightInd w:val="0"/>
      <w:snapToGrid w:val="0"/>
      <w:spacing w:before="100" w:beforeLines="100" w:after="100" w:afterLines="100"/>
      <w:ind w:firstLine="0" w:firstLineChars="0"/>
      <w:jc w:val="center"/>
      <w:outlineLvl w:val="0"/>
    </w:pPr>
    <w:rPr>
      <w:rFonts w:eastAsia="方正小标宋简体" w:cs="Times New Roman"/>
      <w:sz w:val="36"/>
    </w:rPr>
  </w:style>
  <w:style w:type="character" w:customStyle="1" w:styleId="27">
    <w:name w:val="DD标题1 Char"/>
    <w:basedOn w:val="28"/>
    <w:link w:val="26"/>
    <w:qFormat/>
    <w:uiPriority w:val="0"/>
    <w:rPr>
      <w:rFonts w:ascii="Times New Roman" w:hAnsi="Times New Roman" w:eastAsia="方正小标宋简体" w:cs="Times New Roman"/>
      <w:b w:val="0"/>
      <w:sz w:val="36"/>
      <w:szCs w:val="32"/>
    </w:rPr>
  </w:style>
  <w:style w:type="character" w:customStyle="1" w:styleId="28">
    <w:name w:val="DD标题3 Char"/>
    <w:basedOn w:val="16"/>
    <w:link w:val="29"/>
    <w:qFormat/>
    <w:uiPriority w:val="0"/>
    <w:rPr>
      <w:rFonts w:ascii="Times New Roman" w:hAnsi="Times New Roman" w:eastAsia="楷体_GB2312"/>
      <w:b/>
      <w:bCs/>
      <w:sz w:val="32"/>
      <w:szCs w:val="32"/>
    </w:rPr>
  </w:style>
  <w:style w:type="paragraph" w:customStyle="1" w:styleId="29">
    <w:name w:val="DD标题3"/>
    <w:basedOn w:val="22"/>
    <w:next w:val="22"/>
    <w:link w:val="28"/>
    <w:qFormat/>
    <w:uiPriority w:val="0"/>
    <w:pPr>
      <w:spacing w:before="50" w:beforeLines="50" w:after="50" w:afterLines="50"/>
      <w:jc w:val="left"/>
      <w:outlineLvl w:val="2"/>
    </w:pPr>
    <w:rPr>
      <w:rFonts w:eastAsia="楷体_GB2312"/>
      <w:b/>
    </w:rPr>
  </w:style>
  <w:style w:type="paragraph" w:customStyle="1" w:styleId="30">
    <w:name w:val="DD标题4"/>
    <w:basedOn w:val="22"/>
    <w:next w:val="22"/>
    <w:link w:val="31"/>
    <w:qFormat/>
    <w:uiPriority w:val="0"/>
    <w:pPr>
      <w:spacing w:before="50" w:beforeLines="50" w:after="50" w:afterLines="50"/>
      <w:jc w:val="left"/>
      <w:outlineLvl w:val="3"/>
    </w:pPr>
    <w:rPr>
      <w:b/>
    </w:rPr>
  </w:style>
  <w:style w:type="character" w:customStyle="1" w:styleId="31">
    <w:name w:val="DD标题4 Char"/>
    <w:basedOn w:val="27"/>
    <w:link w:val="30"/>
    <w:qFormat/>
    <w:uiPriority w:val="0"/>
    <w:rPr>
      <w:rFonts w:ascii="Times New Roman" w:hAnsi="Times New Roman" w:eastAsia="仿宋_GB2312" w:cs="Times New Roman"/>
      <w:color w:val="333333"/>
      <w:sz w:val="32"/>
      <w:szCs w:val="32"/>
    </w:rPr>
  </w:style>
  <w:style w:type="paragraph" w:customStyle="1" w:styleId="32">
    <w:name w:val="DD标题2"/>
    <w:basedOn w:val="22"/>
    <w:next w:val="22"/>
    <w:link w:val="33"/>
    <w:qFormat/>
    <w:uiPriority w:val="0"/>
    <w:pPr>
      <w:spacing w:before="50" w:beforeLines="50" w:after="50" w:afterLines="50"/>
      <w:jc w:val="left"/>
      <w:outlineLvl w:val="1"/>
    </w:pPr>
    <w:rPr>
      <w:rFonts w:eastAsia="黑体"/>
    </w:rPr>
  </w:style>
  <w:style w:type="character" w:customStyle="1" w:styleId="33">
    <w:name w:val="DD标题2 Char"/>
    <w:basedOn w:val="16"/>
    <w:link w:val="32"/>
    <w:qFormat/>
    <w:uiPriority w:val="0"/>
    <w:rPr>
      <w:rFonts w:ascii="Times New Roman" w:hAnsi="Times New Roman" w:eastAsia="黑体"/>
      <w:bCs/>
      <w:color w:val="333333"/>
      <w:sz w:val="32"/>
      <w:szCs w:val="32"/>
    </w:rPr>
  </w:style>
  <w:style w:type="paragraph" w:customStyle="1" w:styleId="34">
    <w:name w:val="DD专栏文字"/>
    <w:basedOn w:val="22"/>
    <w:link w:val="35"/>
    <w:qFormat/>
    <w:uiPriority w:val="0"/>
    <w:pPr>
      <w:adjustRightInd w:val="0"/>
      <w:snapToGrid w:val="0"/>
      <w:spacing w:line="360" w:lineRule="exact"/>
      <w:ind w:firstLine="0" w:firstLineChars="0"/>
      <w:jc w:val="center"/>
    </w:pPr>
    <w:rPr>
      <w:rFonts w:eastAsia="楷体_GB2312"/>
      <w:sz w:val="24"/>
    </w:rPr>
  </w:style>
  <w:style w:type="character" w:customStyle="1" w:styleId="35">
    <w:name w:val="DD专栏文字 Char"/>
    <w:basedOn w:val="23"/>
    <w:link w:val="34"/>
    <w:qFormat/>
    <w:uiPriority w:val="0"/>
    <w:rPr>
      <w:rFonts w:ascii="Times New Roman" w:hAnsi="Times New Roman" w:eastAsia="楷体_GB2312"/>
      <w:sz w:val="24"/>
      <w:szCs w:val="32"/>
    </w:rPr>
  </w:style>
  <w:style w:type="paragraph" w:customStyle="1" w:styleId="36">
    <w:name w:val="DD专栏标题"/>
    <w:basedOn w:val="34"/>
    <w:link w:val="37"/>
    <w:qFormat/>
    <w:uiPriority w:val="0"/>
    <w:pPr>
      <w:spacing w:line="560" w:lineRule="exact"/>
    </w:pPr>
    <w:rPr>
      <w:rFonts w:eastAsia="黑体"/>
      <w:color w:val="000000"/>
      <w:sz w:val="28"/>
    </w:rPr>
  </w:style>
  <w:style w:type="character" w:customStyle="1" w:styleId="37">
    <w:name w:val="DD专栏标题 Char"/>
    <w:basedOn w:val="35"/>
    <w:link w:val="36"/>
    <w:qFormat/>
    <w:uiPriority w:val="0"/>
    <w:rPr>
      <w:rFonts w:ascii="Times New Roman" w:hAnsi="Times New Roman" w:eastAsia="黑体"/>
      <w:color w:val="000000"/>
      <w:sz w:val="28"/>
      <w:szCs w:val="32"/>
    </w:rPr>
  </w:style>
  <w:style w:type="paragraph" w:customStyle="1" w:styleId="38">
    <w:name w:val="DD图片格式"/>
    <w:basedOn w:val="22"/>
    <w:link w:val="39"/>
    <w:qFormat/>
    <w:uiPriority w:val="0"/>
    <w:pPr>
      <w:adjustRightInd w:val="0"/>
      <w:snapToGrid w:val="0"/>
      <w:spacing w:line="240" w:lineRule="auto"/>
      <w:ind w:firstLine="0" w:firstLineChars="0"/>
      <w:jc w:val="center"/>
    </w:pPr>
  </w:style>
  <w:style w:type="character" w:customStyle="1" w:styleId="39">
    <w:name w:val="DD图片格式 Char"/>
    <w:basedOn w:val="23"/>
    <w:link w:val="38"/>
    <w:qFormat/>
    <w:uiPriority w:val="0"/>
    <w:rPr>
      <w:rFonts w:ascii="Times New Roman" w:hAnsi="Times New Roman" w:eastAsia="仿宋_GB2312"/>
      <w:sz w:val="32"/>
      <w:szCs w:val="32"/>
    </w:rPr>
  </w:style>
  <w:style w:type="paragraph" w:customStyle="1" w:styleId="40">
    <w:name w:val="表格段前段后"/>
    <w:basedOn w:val="22"/>
    <w:link w:val="41"/>
    <w:qFormat/>
    <w:uiPriority w:val="0"/>
    <w:pPr>
      <w:spacing w:line="320" w:lineRule="exact"/>
      <w:ind w:firstLine="0" w:firstLineChars="0"/>
    </w:pPr>
  </w:style>
  <w:style w:type="character" w:customStyle="1" w:styleId="41">
    <w:name w:val="表格段前段后 Char"/>
    <w:basedOn w:val="23"/>
    <w:link w:val="40"/>
    <w:qFormat/>
    <w:uiPriority w:val="0"/>
    <w:rPr>
      <w:rFonts w:ascii="Times New Roman" w:hAnsi="Times New Roman" w:eastAsia="仿宋_GB2312"/>
      <w:sz w:val="32"/>
      <w:szCs w:val="32"/>
    </w:rPr>
  </w:style>
  <w:style w:type="character" w:customStyle="1" w:styleId="42">
    <w:name w:val="页眉 Char"/>
    <w:basedOn w:val="16"/>
    <w:link w:val="8"/>
    <w:qFormat/>
    <w:uiPriority w:val="99"/>
    <w:rPr>
      <w:sz w:val="18"/>
      <w:szCs w:val="18"/>
    </w:rPr>
  </w:style>
  <w:style w:type="character" w:customStyle="1" w:styleId="43">
    <w:name w:val="页脚 Char"/>
    <w:basedOn w:val="16"/>
    <w:link w:val="7"/>
    <w:qFormat/>
    <w:uiPriority w:val="99"/>
    <w:rPr>
      <w:sz w:val="18"/>
      <w:szCs w:val="18"/>
    </w:rPr>
  </w:style>
  <w:style w:type="character" w:customStyle="1" w:styleId="44">
    <w:name w:val="日期 Char"/>
    <w:basedOn w:val="16"/>
    <w:link w:val="5"/>
    <w:semiHidden/>
    <w:qFormat/>
    <w:uiPriority w:val="99"/>
  </w:style>
  <w:style w:type="character" w:customStyle="1" w:styleId="45">
    <w:name w:val="批注框文本 Char"/>
    <w:basedOn w:val="16"/>
    <w:link w:val="6"/>
    <w:semiHidden/>
    <w:qFormat/>
    <w:uiPriority w:val="99"/>
    <w:rPr>
      <w:sz w:val="18"/>
      <w:szCs w:val="18"/>
    </w:rPr>
  </w:style>
  <w:style w:type="paragraph" w:customStyle="1" w:styleId="4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7">
    <w:name w:val="批注文字 Char"/>
    <w:basedOn w:val="16"/>
    <w:link w:val="3"/>
    <w:semiHidden/>
    <w:qFormat/>
    <w:uiPriority w:val="99"/>
  </w:style>
  <w:style w:type="character" w:customStyle="1" w:styleId="48">
    <w:name w:val="批注主题 Char"/>
    <w:basedOn w:val="47"/>
    <w:link w:val="13"/>
    <w:semiHidden/>
    <w:qFormat/>
    <w:uiPriority w:val="99"/>
    <w:rPr>
      <w:b/>
      <w:bCs/>
    </w:rPr>
  </w:style>
  <w:style w:type="table" w:customStyle="1" w:styleId="49">
    <w:name w:val="网格型1"/>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网格型2"/>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1">
    <w:name w:val="脚注文本 Char"/>
    <w:basedOn w:val="16"/>
    <w:link w:val="10"/>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4.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C0D5B-CFAB-42CD-B151-EB4F7624C211}">
  <ds:schemaRefs/>
</ds:datastoreItem>
</file>

<file path=docProps/app.xml><?xml version="1.0" encoding="utf-8"?>
<Properties xmlns="http://schemas.openxmlformats.org/officeDocument/2006/extended-properties" xmlns:vt="http://schemas.openxmlformats.org/officeDocument/2006/docPropsVTypes">
  <Template>Normal.dotm</Template>
  <Pages>96</Pages>
  <Words>8822</Words>
  <Characters>9093</Characters>
  <Lines>375</Lines>
  <Paragraphs>105</Paragraphs>
  <TotalTime>3</TotalTime>
  <ScaleCrop>false</ScaleCrop>
  <LinksUpToDate>false</LinksUpToDate>
  <CharactersWithSpaces>9486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2020-12-06T09:17:00Z</dcterms:created>
  <dc:creator>DD</dc:creator>
  <cp:lastModifiedBy>马昕禾禾子</cp:lastModifiedBy>
  <cp:lastPrinted>2020-12-20T07:34:00Z</cp:lastPrinted>
  <dcterms:modified xsi:type="dcterms:W3CDTF">2025-05-07T01:14:49Z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eyJoZGlkIjoiN2Q0ZmU3MDAwNGU5ZDc0ZWZkMTNlNGQzZjhiMDJmYzEiLCJ1c2VySWQiOiIyMzUwNDU0MzUifQ==</vt:lpwstr>
  </property>
  <property fmtid="{D5CDD505-2E9C-101B-9397-08002B2CF9AE}" pid="3" name="KSOProductBuildVer">
    <vt:lpwstr>2052-12.1.0.20784</vt:lpwstr>
  </property>
  <property fmtid="{D5CDD505-2E9C-101B-9397-08002B2CF9AE}" pid="4" name="ICV">
    <vt:lpwstr>4635F944B46C4392B12742848683CD04_13</vt:lpwstr>
  </property>
</Properties>
</file>